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064E270F" w14:textId="77777777" w:rsidR="00E67C5B" w:rsidRPr="00287FCB" w:rsidRDefault="00E67C5B" w:rsidP="00E67C5B">
      <w:pPr>
        <w:tabs>
          <w:tab w:val="left" w:pos="360"/>
        </w:tabs>
        <w:rPr>
          <w:rFonts w:asciiTheme="minorHAnsi" w:hAnsiTheme="minorHAnsi" w:cstheme="minorHAnsi"/>
          <w:b/>
          <w:color w:val="000000" w:themeColor="text1"/>
          <w:sz w:val="20"/>
          <w:szCs w:val="20"/>
        </w:rPr>
      </w:pPr>
      <w:r w:rsidRPr="00287FCB">
        <w:rPr>
          <w:rFonts w:asciiTheme="minorHAnsi" w:hAnsiTheme="minorHAnsi" w:cstheme="minorHAnsi"/>
          <w:b/>
          <w:color w:val="000000" w:themeColor="text1"/>
          <w:sz w:val="20"/>
          <w:szCs w:val="20"/>
        </w:rPr>
        <w:t>MED Learning Group</w:t>
      </w:r>
    </w:p>
    <w:p w14:paraId="46F61042" w14:textId="77777777" w:rsidR="00451CF6" w:rsidRPr="00451CF6" w:rsidRDefault="00451CF6" w:rsidP="00E67C5B">
      <w:pPr>
        <w:rPr>
          <w:rFonts w:ascii="Calibri" w:hAnsi="Calibri" w:cs="Calibri"/>
          <w:b/>
          <w:bCs/>
          <w:color w:val="000000" w:themeColor="text1"/>
          <w:sz w:val="20"/>
          <w:szCs w:val="20"/>
          <w:shd w:val="clear" w:color="auto" w:fill="FFFFFF"/>
        </w:rPr>
      </w:pPr>
      <w:r w:rsidRPr="00451CF6">
        <w:rPr>
          <w:rFonts w:ascii="Calibri" w:hAnsi="Calibri" w:cs="Calibri"/>
          <w:b/>
          <w:bCs/>
          <w:color w:val="000000" w:themeColor="text1"/>
          <w:sz w:val="20"/>
          <w:szCs w:val="20"/>
          <w:shd w:val="clear" w:color="auto" w:fill="FFFFFF"/>
        </w:rPr>
        <w:t>Weight No Longer: Addressing Overweight/Obesity as an Integral Part of Type 2 Diabetes Management</w:t>
      </w:r>
    </w:p>
    <w:p w14:paraId="6686C0B5" w14:textId="6FD6324E" w:rsidR="00E67C5B" w:rsidRDefault="008A0E35" w:rsidP="00E67C5B">
      <w:pPr>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January 4, 2024 – March 26, 2024</w:t>
      </w:r>
    </w:p>
    <w:p w14:paraId="5A9BD0AB" w14:textId="77777777" w:rsidR="00E67C5B" w:rsidRDefault="00E67C5B" w:rsidP="00E67C5B">
      <w:pPr>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Online</w:t>
      </w:r>
    </w:p>
    <w:p w14:paraId="342CE035" w14:textId="77777777" w:rsidR="00747D53" w:rsidRPr="00357D48" w:rsidRDefault="00747D53" w:rsidP="00747D53">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4E2C8830" w14:textId="67EDA5B3" w:rsidR="005B53FB" w:rsidRPr="0099091B" w:rsidRDefault="00E67C5B" w:rsidP="00C044D5">
      <w:pPr>
        <w:rPr>
          <w:rFonts w:ascii="Calibri" w:hAnsi="Calibri" w:cs="Calibri"/>
          <w:color w:val="000000" w:themeColor="text1"/>
          <w:sz w:val="20"/>
          <w:szCs w:val="20"/>
        </w:rPr>
      </w:pPr>
      <w:r>
        <w:rPr>
          <w:rFonts w:ascii="Calibri" w:hAnsi="Calibri" w:cs="Calibri"/>
          <w:color w:val="000000" w:themeColor="text1"/>
          <w:sz w:val="20"/>
          <w:szCs w:val="20"/>
        </w:rPr>
        <w:t>Lilly</w:t>
      </w:r>
    </w:p>
    <w:p w14:paraId="03D0C9CE" w14:textId="77777777" w:rsidR="00D50DA6" w:rsidRPr="00E43A22" w:rsidRDefault="00D50DA6"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35F413C2"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w:t>
      </w:r>
      <w:r w:rsidR="00996F95">
        <w:rPr>
          <w:rFonts w:asciiTheme="minorHAnsi" w:hAnsiTheme="minorHAnsi" w:cstheme="minorHAnsi"/>
          <w:color w:val="000000" w:themeColor="text1"/>
          <w:sz w:val="20"/>
          <w:szCs w:val="20"/>
        </w:rPr>
        <w:t>5</w:t>
      </w:r>
      <w:r w:rsidR="00253593">
        <w:rPr>
          <w:rFonts w:asciiTheme="minorHAnsi" w:hAnsiTheme="minorHAnsi" w:cstheme="minorHAnsi"/>
          <w:color w:val="000000" w:themeColor="text1"/>
          <w:sz w:val="20"/>
          <w:szCs w:val="20"/>
        </w:rPr>
        <w:t>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357D48" w:rsidRDefault="006838F4" w:rsidP="00C044D5">
      <w:pPr>
        <w:rPr>
          <w:rFonts w:ascii="Calibri" w:hAnsi="Calibri" w:cs="Calibri"/>
          <w:bCs/>
          <w:sz w:val="20"/>
          <w:szCs w:val="20"/>
        </w:rPr>
      </w:pPr>
    </w:p>
    <w:p w14:paraId="77DB2A89" w14:textId="77777777" w:rsidR="00C044D5" w:rsidRPr="00357D48" w:rsidRDefault="00C044D5" w:rsidP="00C044D5">
      <w:pPr>
        <w:pStyle w:val="Heading6"/>
        <w:rPr>
          <w:rFonts w:ascii="Calibri" w:hAnsi="Calibri" w:cs="Calibri"/>
          <w:color w:val="000000" w:themeColor="text1"/>
          <w:sz w:val="20"/>
          <w:u w:val="single"/>
        </w:rPr>
      </w:pPr>
      <w:r w:rsidRPr="00357D48">
        <w:rPr>
          <w:rFonts w:ascii="Calibri" w:hAnsi="Calibri" w:cs="Calibri"/>
          <w:color w:val="000000" w:themeColor="text1"/>
          <w:sz w:val="20"/>
          <w:u w:val="single"/>
        </w:rPr>
        <w:t>Objectives - After Attending This Program You Should Be Able To</w:t>
      </w:r>
    </w:p>
    <w:p w14:paraId="32C3865E" w14:textId="55B96C14" w:rsidR="00F3348F" w:rsidRPr="00F3348F" w:rsidRDefault="00F3348F" w:rsidP="00F3348F">
      <w:pPr>
        <w:pStyle w:val="paragraph"/>
        <w:numPr>
          <w:ilvl w:val="0"/>
          <w:numId w:val="26"/>
        </w:numPr>
        <w:spacing w:before="0" w:beforeAutospacing="0" w:after="0" w:afterAutospacing="0"/>
        <w:textAlignment w:val="baseline"/>
        <w:rPr>
          <w:rFonts w:ascii="Calibri" w:hAnsi="Calibri" w:cs="Calibri"/>
          <w:sz w:val="20"/>
          <w:szCs w:val="20"/>
        </w:rPr>
      </w:pPr>
      <w:r w:rsidRPr="00F3348F">
        <w:rPr>
          <w:rStyle w:val="normaltextrun"/>
          <w:rFonts w:ascii="Calibri" w:hAnsi="Calibri" w:cs="Calibri"/>
          <w:sz w:val="20"/>
          <w:szCs w:val="20"/>
        </w:rPr>
        <w:t>Utilize guidelines and clinical data supporting a weight-centric approach to the treatment of patients with type 2 diabetes</w:t>
      </w:r>
      <w:r w:rsidRPr="00F3348F">
        <w:rPr>
          <w:rStyle w:val="eop"/>
          <w:rFonts w:ascii="Calibri" w:hAnsi="Calibri" w:cs="Calibri"/>
          <w:sz w:val="20"/>
          <w:szCs w:val="20"/>
        </w:rPr>
        <w:t>.</w:t>
      </w:r>
    </w:p>
    <w:p w14:paraId="12069CA4" w14:textId="155410B4" w:rsidR="00F3348F" w:rsidRPr="00F3348F" w:rsidRDefault="00F3348F" w:rsidP="00F3348F">
      <w:pPr>
        <w:pStyle w:val="paragraph"/>
        <w:numPr>
          <w:ilvl w:val="0"/>
          <w:numId w:val="26"/>
        </w:numPr>
        <w:spacing w:before="0" w:beforeAutospacing="0" w:after="0" w:afterAutospacing="0"/>
        <w:textAlignment w:val="baseline"/>
        <w:rPr>
          <w:rFonts w:ascii="Calibri" w:hAnsi="Calibri" w:cs="Calibri"/>
          <w:sz w:val="20"/>
          <w:szCs w:val="20"/>
        </w:rPr>
      </w:pPr>
      <w:r w:rsidRPr="00F3348F">
        <w:rPr>
          <w:rStyle w:val="normaltextrun"/>
          <w:rFonts w:ascii="Calibri" w:hAnsi="Calibri" w:cs="Calibri"/>
          <w:sz w:val="20"/>
          <w:szCs w:val="20"/>
        </w:rPr>
        <w:t>Select pharmacological agents that facilitate both weight management and glycemic control</w:t>
      </w:r>
      <w:r w:rsidRPr="00F3348F">
        <w:rPr>
          <w:rStyle w:val="eop"/>
          <w:rFonts w:ascii="Calibri" w:hAnsi="Calibri" w:cs="Calibri"/>
          <w:sz w:val="20"/>
          <w:szCs w:val="20"/>
        </w:rPr>
        <w:t>.</w:t>
      </w:r>
    </w:p>
    <w:p w14:paraId="22B406E9" w14:textId="1AB6A4E9" w:rsidR="00F3348F" w:rsidRPr="00F3348F" w:rsidRDefault="00F3348F" w:rsidP="00F3348F">
      <w:pPr>
        <w:pStyle w:val="paragraph"/>
        <w:numPr>
          <w:ilvl w:val="0"/>
          <w:numId w:val="26"/>
        </w:numPr>
        <w:spacing w:before="0" w:beforeAutospacing="0" w:after="0" w:afterAutospacing="0"/>
        <w:textAlignment w:val="baseline"/>
        <w:rPr>
          <w:rFonts w:ascii="Calibri" w:hAnsi="Calibri" w:cs="Calibri"/>
          <w:sz w:val="20"/>
          <w:szCs w:val="20"/>
        </w:rPr>
      </w:pPr>
      <w:r w:rsidRPr="00F3348F">
        <w:rPr>
          <w:rStyle w:val="normaltextrun"/>
          <w:rFonts w:ascii="Calibri" w:hAnsi="Calibri" w:cs="Calibri"/>
          <w:sz w:val="20"/>
          <w:szCs w:val="20"/>
        </w:rPr>
        <w:t>Implement shared decision-making strategies to help patients with type 2 diabetes select and follow through with informed options for weight loss</w:t>
      </w:r>
      <w:r w:rsidRPr="00F3348F">
        <w:rPr>
          <w:rStyle w:val="eop"/>
          <w:rFonts w:ascii="Calibri" w:hAnsi="Calibri" w:cs="Calibri"/>
          <w:sz w:val="20"/>
          <w:szCs w:val="20"/>
        </w:rPr>
        <w:t>.</w:t>
      </w:r>
    </w:p>
    <w:p w14:paraId="4DA041E1" w14:textId="77777777" w:rsidR="00D9545C" w:rsidRPr="00F3348F" w:rsidRDefault="00D9545C" w:rsidP="00D9545C">
      <w:pPr>
        <w:rPr>
          <w:rFonts w:ascii="Calibri" w:eastAsia="Calibri" w:hAnsi="Calibri" w:cs="Calibri"/>
          <w:color w:val="000000" w:themeColor="text1"/>
          <w:sz w:val="20"/>
          <w:szCs w:val="20"/>
        </w:rPr>
      </w:pP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24D8D226" w:rsidR="005C5AE4" w:rsidRDefault="005C5AE4" w:rsidP="00C044D5">
      <w:pPr>
        <w:pStyle w:val="BodyText"/>
        <w:rPr>
          <w:rFonts w:ascii="Calibri" w:hAnsi="Calibri" w:cs="Calibri"/>
          <w:color w:val="FF0000"/>
          <w:sz w:val="20"/>
          <w:lang w:val="en-US"/>
        </w:rPr>
      </w:pPr>
    </w:p>
    <w:tbl>
      <w:tblPr>
        <w:tblW w:w="9960" w:type="dxa"/>
        <w:tblLayout w:type="fixed"/>
        <w:tblLook w:val="04A0" w:firstRow="1" w:lastRow="0" w:firstColumn="1" w:lastColumn="0" w:noHBand="0" w:noVBand="1"/>
      </w:tblPr>
      <w:tblGrid>
        <w:gridCol w:w="1302"/>
        <w:gridCol w:w="1303"/>
        <w:gridCol w:w="7355"/>
      </w:tblGrid>
      <w:tr w:rsidR="00996F95" w14:paraId="3651D6A6" w14:textId="77777777" w:rsidTr="00996F95">
        <w:trPr>
          <w:trHeight w:val="20"/>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E98AE" w14:textId="77777777" w:rsidR="00996F95" w:rsidRDefault="00996F95" w:rsidP="00996F95">
            <w:pPr>
              <w:jc w:val="center"/>
              <w:rPr>
                <w:rFonts w:ascii="Calibri" w:hAnsi="Calibri" w:cs="Calibri"/>
                <w:b/>
                <w:bCs/>
                <w:color w:val="000000"/>
                <w:sz w:val="20"/>
                <w:szCs w:val="20"/>
              </w:rPr>
            </w:pPr>
            <w:r>
              <w:rPr>
                <w:rFonts w:ascii="Calibri" w:hAnsi="Calibri" w:cs="Calibri"/>
                <w:b/>
                <w:bCs/>
                <w:color w:val="000000"/>
                <w:sz w:val="20"/>
                <w:szCs w:val="20"/>
              </w:rPr>
              <w:t>First Name</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1CE42EF1" w14:textId="77777777" w:rsidR="00996F95" w:rsidRDefault="00996F95" w:rsidP="00996F95">
            <w:pPr>
              <w:jc w:val="center"/>
              <w:rPr>
                <w:rFonts w:ascii="Calibri" w:hAnsi="Calibri" w:cs="Calibri"/>
                <w:b/>
                <w:bCs/>
                <w:color w:val="000000"/>
                <w:sz w:val="20"/>
                <w:szCs w:val="20"/>
              </w:rPr>
            </w:pPr>
            <w:r>
              <w:rPr>
                <w:rFonts w:ascii="Calibri" w:hAnsi="Calibri" w:cs="Calibri"/>
                <w:b/>
                <w:bCs/>
                <w:color w:val="000000"/>
                <w:sz w:val="20"/>
                <w:szCs w:val="20"/>
              </w:rPr>
              <w:t>Last Name</w:t>
            </w:r>
          </w:p>
        </w:tc>
        <w:tc>
          <w:tcPr>
            <w:tcW w:w="7355" w:type="dxa"/>
            <w:tcBorders>
              <w:top w:val="single" w:sz="4" w:space="0" w:color="auto"/>
              <w:left w:val="nil"/>
              <w:bottom w:val="single" w:sz="4" w:space="0" w:color="auto"/>
              <w:right w:val="single" w:sz="4" w:space="0" w:color="auto"/>
            </w:tcBorders>
            <w:shd w:val="clear" w:color="auto" w:fill="auto"/>
            <w:vAlign w:val="bottom"/>
            <w:hideMark/>
          </w:tcPr>
          <w:p w14:paraId="78E9A452" w14:textId="77777777" w:rsidR="00996F95" w:rsidRDefault="00996F95" w:rsidP="00996F95">
            <w:pPr>
              <w:jc w:val="center"/>
              <w:rPr>
                <w:rFonts w:ascii="Calibri" w:hAnsi="Calibri" w:cs="Calibri"/>
                <w:b/>
                <w:bCs/>
                <w:color w:val="000000"/>
                <w:sz w:val="20"/>
                <w:szCs w:val="20"/>
              </w:rPr>
            </w:pPr>
            <w:r>
              <w:rPr>
                <w:rFonts w:ascii="Calibri" w:hAnsi="Calibri" w:cs="Calibri"/>
                <w:b/>
                <w:bCs/>
                <w:color w:val="000000"/>
                <w:sz w:val="20"/>
                <w:szCs w:val="20"/>
              </w:rPr>
              <w:t>Commercial Interest: Relationship</w:t>
            </w:r>
          </w:p>
        </w:tc>
      </w:tr>
      <w:tr w:rsidR="00996F95" w14:paraId="71F59B1A"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CA477B1" w14:textId="77777777" w:rsidR="00996F95" w:rsidRDefault="00996F95" w:rsidP="00996F95">
            <w:pPr>
              <w:jc w:val="center"/>
              <w:rPr>
                <w:rFonts w:ascii="Calibri" w:hAnsi="Calibri" w:cs="Calibri"/>
                <w:color w:val="000000"/>
                <w:sz w:val="20"/>
                <w:szCs w:val="20"/>
              </w:rPr>
            </w:pPr>
            <w:proofErr w:type="spellStart"/>
            <w:r>
              <w:rPr>
                <w:rFonts w:ascii="Calibri" w:hAnsi="Calibri" w:cs="Calibri"/>
                <w:color w:val="000000"/>
                <w:sz w:val="20"/>
                <w:szCs w:val="20"/>
              </w:rPr>
              <w:t>Russie</w:t>
            </w:r>
            <w:proofErr w:type="spellEnd"/>
          </w:p>
        </w:tc>
        <w:tc>
          <w:tcPr>
            <w:tcW w:w="1303" w:type="dxa"/>
            <w:tcBorders>
              <w:top w:val="nil"/>
              <w:left w:val="nil"/>
              <w:bottom w:val="single" w:sz="4" w:space="0" w:color="auto"/>
              <w:right w:val="single" w:sz="4" w:space="0" w:color="auto"/>
            </w:tcBorders>
            <w:shd w:val="clear" w:color="auto" w:fill="auto"/>
            <w:noWrap/>
            <w:vAlign w:val="bottom"/>
            <w:hideMark/>
          </w:tcPr>
          <w:p w14:paraId="4C90B5E4"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Allen</w:t>
            </w:r>
          </w:p>
        </w:tc>
        <w:tc>
          <w:tcPr>
            <w:tcW w:w="7355" w:type="dxa"/>
            <w:tcBorders>
              <w:top w:val="nil"/>
              <w:left w:val="nil"/>
              <w:bottom w:val="single" w:sz="4" w:space="0" w:color="auto"/>
              <w:right w:val="single" w:sz="4" w:space="0" w:color="auto"/>
            </w:tcBorders>
            <w:shd w:val="clear" w:color="auto" w:fill="auto"/>
            <w:vAlign w:val="bottom"/>
            <w:hideMark/>
          </w:tcPr>
          <w:p w14:paraId="669EB794"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NA</w:t>
            </w:r>
          </w:p>
        </w:tc>
      </w:tr>
      <w:tr w:rsidR="00996F95" w14:paraId="7FECAFA9"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64C3BB0" w14:textId="77777777" w:rsidR="00996F95" w:rsidRDefault="00996F95" w:rsidP="00996F95">
            <w:pPr>
              <w:jc w:val="center"/>
              <w:rPr>
                <w:rFonts w:ascii="Calibri" w:hAnsi="Calibri" w:cs="Calibri"/>
                <w:color w:val="000000"/>
                <w:sz w:val="20"/>
                <w:szCs w:val="20"/>
              </w:rPr>
            </w:pPr>
            <w:proofErr w:type="spellStart"/>
            <w:r>
              <w:rPr>
                <w:rFonts w:ascii="Calibri" w:hAnsi="Calibri" w:cs="Calibri"/>
                <w:color w:val="000000"/>
                <w:sz w:val="20"/>
                <w:szCs w:val="20"/>
              </w:rPr>
              <w:t>Millena</w:t>
            </w:r>
            <w:proofErr w:type="spellEnd"/>
          </w:p>
        </w:tc>
        <w:tc>
          <w:tcPr>
            <w:tcW w:w="1303" w:type="dxa"/>
            <w:tcBorders>
              <w:top w:val="nil"/>
              <w:left w:val="nil"/>
              <w:bottom w:val="single" w:sz="4" w:space="0" w:color="auto"/>
              <w:right w:val="single" w:sz="4" w:space="0" w:color="auto"/>
            </w:tcBorders>
            <w:shd w:val="clear" w:color="auto" w:fill="auto"/>
            <w:noWrap/>
            <w:vAlign w:val="bottom"/>
            <w:hideMark/>
          </w:tcPr>
          <w:p w14:paraId="659AC9E5"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De Brito</w:t>
            </w:r>
          </w:p>
        </w:tc>
        <w:tc>
          <w:tcPr>
            <w:tcW w:w="7355" w:type="dxa"/>
            <w:tcBorders>
              <w:top w:val="nil"/>
              <w:left w:val="nil"/>
              <w:bottom w:val="single" w:sz="4" w:space="0" w:color="auto"/>
              <w:right w:val="single" w:sz="4" w:space="0" w:color="auto"/>
            </w:tcBorders>
            <w:shd w:val="clear" w:color="auto" w:fill="auto"/>
            <w:vAlign w:val="bottom"/>
            <w:hideMark/>
          </w:tcPr>
          <w:p w14:paraId="7E4032E0"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NA</w:t>
            </w:r>
          </w:p>
        </w:tc>
      </w:tr>
      <w:tr w:rsidR="00996F95" w14:paraId="3CF2A4BF"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61BE300"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Matthew</w:t>
            </w:r>
          </w:p>
        </w:tc>
        <w:tc>
          <w:tcPr>
            <w:tcW w:w="1303" w:type="dxa"/>
            <w:tcBorders>
              <w:top w:val="nil"/>
              <w:left w:val="nil"/>
              <w:bottom w:val="single" w:sz="4" w:space="0" w:color="auto"/>
              <w:right w:val="single" w:sz="4" w:space="0" w:color="auto"/>
            </w:tcBorders>
            <w:shd w:val="clear" w:color="auto" w:fill="auto"/>
            <w:noWrap/>
            <w:vAlign w:val="bottom"/>
            <w:hideMark/>
          </w:tcPr>
          <w:p w14:paraId="66E05389" w14:textId="77777777" w:rsidR="00996F95" w:rsidRDefault="00996F95" w:rsidP="00996F95">
            <w:pPr>
              <w:jc w:val="center"/>
              <w:rPr>
                <w:rFonts w:ascii="Calibri" w:hAnsi="Calibri" w:cs="Calibri"/>
                <w:color w:val="000000"/>
                <w:sz w:val="20"/>
                <w:szCs w:val="20"/>
              </w:rPr>
            </w:pPr>
            <w:proofErr w:type="spellStart"/>
            <w:r>
              <w:rPr>
                <w:rFonts w:ascii="Calibri" w:hAnsi="Calibri" w:cs="Calibri"/>
                <w:color w:val="000000"/>
                <w:sz w:val="20"/>
                <w:szCs w:val="20"/>
              </w:rPr>
              <w:t>Frese</w:t>
            </w:r>
            <w:proofErr w:type="spellEnd"/>
          </w:p>
        </w:tc>
        <w:tc>
          <w:tcPr>
            <w:tcW w:w="7355" w:type="dxa"/>
            <w:tcBorders>
              <w:top w:val="nil"/>
              <w:left w:val="nil"/>
              <w:bottom w:val="single" w:sz="4" w:space="0" w:color="auto"/>
              <w:right w:val="single" w:sz="4" w:space="0" w:color="auto"/>
            </w:tcBorders>
            <w:shd w:val="clear" w:color="auto" w:fill="auto"/>
            <w:vAlign w:val="bottom"/>
            <w:hideMark/>
          </w:tcPr>
          <w:p w14:paraId="46F1951F"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NA</w:t>
            </w:r>
          </w:p>
        </w:tc>
      </w:tr>
      <w:tr w:rsidR="00996F95" w14:paraId="1C07A2CE"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3A70F19"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Christina</w:t>
            </w:r>
          </w:p>
        </w:tc>
        <w:tc>
          <w:tcPr>
            <w:tcW w:w="1303" w:type="dxa"/>
            <w:tcBorders>
              <w:top w:val="nil"/>
              <w:left w:val="nil"/>
              <w:bottom w:val="single" w:sz="4" w:space="0" w:color="auto"/>
              <w:right w:val="single" w:sz="4" w:space="0" w:color="auto"/>
            </w:tcBorders>
            <w:shd w:val="clear" w:color="auto" w:fill="auto"/>
            <w:noWrap/>
            <w:vAlign w:val="bottom"/>
            <w:hideMark/>
          </w:tcPr>
          <w:p w14:paraId="7AFB1881"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Gallo</w:t>
            </w:r>
          </w:p>
        </w:tc>
        <w:tc>
          <w:tcPr>
            <w:tcW w:w="7355" w:type="dxa"/>
            <w:tcBorders>
              <w:top w:val="nil"/>
              <w:left w:val="nil"/>
              <w:bottom w:val="single" w:sz="4" w:space="0" w:color="auto"/>
              <w:right w:val="single" w:sz="4" w:space="0" w:color="auto"/>
            </w:tcBorders>
            <w:shd w:val="clear" w:color="auto" w:fill="auto"/>
            <w:vAlign w:val="bottom"/>
            <w:hideMark/>
          </w:tcPr>
          <w:p w14:paraId="0DE818AF"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NA</w:t>
            </w:r>
          </w:p>
        </w:tc>
      </w:tr>
      <w:tr w:rsidR="00996F95" w14:paraId="2F43EC30"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BFD7946"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Amanda</w:t>
            </w:r>
          </w:p>
        </w:tc>
        <w:tc>
          <w:tcPr>
            <w:tcW w:w="1303" w:type="dxa"/>
            <w:tcBorders>
              <w:top w:val="nil"/>
              <w:left w:val="nil"/>
              <w:bottom w:val="single" w:sz="4" w:space="0" w:color="auto"/>
              <w:right w:val="single" w:sz="4" w:space="0" w:color="auto"/>
            </w:tcBorders>
            <w:shd w:val="clear" w:color="auto" w:fill="auto"/>
            <w:noWrap/>
            <w:vAlign w:val="bottom"/>
            <w:hideMark/>
          </w:tcPr>
          <w:p w14:paraId="7622545C"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Jenkins</w:t>
            </w:r>
          </w:p>
        </w:tc>
        <w:tc>
          <w:tcPr>
            <w:tcW w:w="7355" w:type="dxa"/>
            <w:tcBorders>
              <w:top w:val="nil"/>
              <w:left w:val="nil"/>
              <w:bottom w:val="single" w:sz="4" w:space="0" w:color="auto"/>
              <w:right w:val="single" w:sz="4" w:space="0" w:color="auto"/>
            </w:tcBorders>
            <w:shd w:val="clear" w:color="auto" w:fill="auto"/>
            <w:vAlign w:val="bottom"/>
            <w:hideMark/>
          </w:tcPr>
          <w:p w14:paraId="1E0B36D9"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NA</w:t>
            </w:r>
          </w:p>
        </w:tc>
      </w:tr>
      <w:tr w:rsidR="00996F95" w14:paraId="6AC5B5F0"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BC8C09B"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Melissa A.</w:t>
            </w:r>
          </w:p>
        </w:tc>
        <w:tc>
          <w:tcPr>
            <w:tcW w:w="1303" w:type="dxa"/>
            <w:tcBorders>
              <w:top w:val="nil"/>
              <w:left w:val="nil"/>
              <w:bottom w:val="single" w:sz="4" w:space="0" w:color="auto"/>
              <w:right w:val="single" w:sz="4" w:space="0" w:color="auto"/>
            </w:tcBorders>
            <w:shd w:val="clear" w:color="auto" w:fill="auto"/>
            <w:noWrap/>
            <w:vAlign w:val="bottom"/>
            <w:hideMark/>
          </w:tcPr>
          <w:p w14:paraId="3F91EBFA"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Johnson</w:t>
            </w:r>
          </w:p>
        </w:tc>
        <w:tc>
          <w:tcPr>
            <w:tcW w:w="7355" w:type="dxa"/>
            <w:tcBorders>
              <w:top w:val="nil"/>
              <w:left w:val="nil"/>
              <w:bottom w:val="single" w:sz="4" w:space="0" w:color="auto"/>
              <w:right w:val="single" w:sz="4" w:space="0" w:color="auto"/>
            </w:tcBorders>
            <w:shd w:val="clear" w:color="auto" w:fill="auto"/>
            <w:vAlign w:val="bottom"/>
            <w:hideMark/>
          </w:tcPr>
          <w:p w14:paraId="5C169E59"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NA</w:t>
            </w:r>
          </w:p>
        </w:tc>
      </w:tr>
      <w:tr w:rsidR="00996F95" w14:paraId="40F45113"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DE1B0D3"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Davida</w:t>
            </w:r>
          </w:p>
        </w:tc>
        <w:tc>
          <w:tcPr>
            <w:tcW w:w="1303" w:type="dxa"/>
            <w:tcBorders>
              <w:top w:val="nil"/>
              <w:left w:val="nil"/>
              <w:bottom w:val="single" w:sz="4" w:space="0" w:color="auto"/>
              <w:right w:val="single" w:sz="4" w:space="0" w:color="auto"/>
            </w:tcBorders>
            <w:shd w:val="clear" w:color="auto" w:fill="auto"/>
            <w:noWrap/>
            <w:vAlign w:val="bottom"/>
            <w:hideMark/>
          </w:tcPr>
          <w:p w14:paraId="16495311"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Kruger</w:t>
            </w:r>
          </w:p>
        </w:tc>
        <w:tc>
          <w:tcPr>
            <w:tcW w:w="7355" w:type="dxa"/>
            <w:tcBorders>
              <w:top w:val="nil"/>
              <w:left w:val="nil"/>
              <w:bottom w:val="single" w:sz="4" w:space="0" w:color="auto"/>
              <w:right w:val="single" w:sz="4" w:space="0" w:color="auto"/>
            </w:tcBorders>
            <w:shd w:val="clear" w:color="auto" w:fill="auto"/>
            <w:vAlign w:val="bottom"/>
            <w:hideMark/>
          </w:tcPr>
          <w:p w14:paraId="1604606F"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 xml:space="preserve">Novo Nordisk, Lilly, Abbott, </w:t>
            </w:r>
            <w:proofErr w:type="spellStart"/>
            <w:r>
              <w:rPr>
                <w:rFonts w:ascii="Calibri" w:hAnsi="Calibri" w:cs="Calibri"/>
                <w:color w:val="000000"/>
                <w:sz w:val="20"/>
                <w:szCs w:val="20"/>
              </w:rPr>
              <w:t>Embecta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CeQur</w:t>
            </w:r>
            <w:proofErr w:type="spellEnd"/>
            <w:r>
              <w:rPr>
                <w:rFonts w:ascii="Calibri" w:hAnsi="Calibri" w:cs="Calibri"/>
                <w:color w:val="000000"/>
                <w:sz w:val="20"/>
                <w:szCs w:val="20"/>
              </w:rPr>
              <w:t xml:space="preserve"> Corporation, </w:t>
            </w:r>
            <w:proofErr w:type="spellStart"/>
            <w:r>
              <w:rPr>
                <w:rFonts w:ascii="Calibri" w:hAnsi="Calibri" w:cs="Calibri"/>
                <w:color w:val="000000"/>
                <w:sz w:val="20"/>
                <w:szCs w:val="20"/>
              </w:rPr>
              <w:t>Mannkind</w:t>
            </w:r>
            <w:proofErr w:type="spellEnd"/>
            <w:r>
              <w:rPr>
                <w:rFonts w:ascii="Calibri" w:hAnsi="Calibri" w:cs="Calibri"/>
                <w:color w:val="000000"/>
                <w:sz w:val="20"/>
                <w:szCs w:val="20"/>
              </w:rPr>
              <w:t xml:space="preserve"> Corporation, Medtronic, Sanofi: Consultant, Lilly, Novo Nordisk, Dexcom, </w:t>
            </w:r>
            <w:proofErr w:type="spellStart"/>
            <w:r>
              <w:rPr>
                <w:rFonts w:ascii="Calibri" w:hAnsi="Calibri" w:cs="Calibri"/>
                <w:color w:val="000000"/>
                <w:sz w:val="20"/>
                <w:szCs w:val="20"/>
              </w:rPr>
              <w:t>CeQur</w:t>
            </w:r>
            <w:proofErr w:type="spellEnd"/>
            <w:r>
              <w:rPr>
                <w:rFonts w:ascii="Calibri" w:hAnsi="Calibri" w:cs="Calibri"/>
                <w:color w:val="000000"/>
                <w:sz w:val="20"/>
                <w:szCs w:val="20"/>
              </w:rPr>
              <w:t xml:space="preserve"> Corporation, Sanofi, </w:t>
            </w:r>
            <w:proofErr w:type="spellStart"/>
            <w:r>
              <w:rPr>
                <w:rFonts w:ascii="Calibri" w:hAnsi="Calibri" w:cs="Calibri"/>
                <w:color w:val="000000"/>
                <w:sz w:val="20"/>
                <w:szCs w:val="20"/>
              </w:rPr>
              <w:t>Xeris</w:t>
            </w:r>
            <w:proofErr w:type="spellEnd"/>
            <w:r>
              <w:rPr>
                <w:rFonts w:ascii="Calibri" w:hAnsi="Calibri" w:cs="Calibri"/>
                <w:color w:val="000000"/>
                <w:sz w:val="20"/>
                <w:szCs w:val="20"/>
              </w:rPr>
              <w:t xml:space="preserve">: Speakers Bureau, Abbott, Beta Bionics, </w:t>
            </w:r>
            <w:proofErr w:type="spellStart"/>
            <w:r>
              <w:rPr>
                <w:rFonts w:ascii="Calibri" w:hAnsi="Calibri" w:cs="Calibri"/>
                <w:color w:val="000000"/>
                <w:sz w:val="20"/>
                <w:szCs w:val="20"/>
              </w:rPr>
              <w:t>Insulet</w:t>
            </w:r>
            <w:proofErr w:type="spellEnd"/>
            <w:r>
              <w:rPr>
                <w:rFonts w:ascii="Calibri" w:hAnsi="Calibri" w:cs="Calibri"/>
                <w:color w:val="000000"/>
                <w:sz w:val="20"/>
                <w:szCs w:val="20"/>
              </w:rPr>
              <w:t>, Novo, and Tandem: Contracted Research</w:t>
            </w:r>
          </w:p>
        </w:tc>
      </w:tr>
      <w:tr w:rsidR="00996F95" w14:paraId="2E2ED03F"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7D71C11"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Cindy</w:t>
            </w:r>
          </w:p>
        </w:tc>
        <w:tc>
          <w:tcPr>
            <w:tcW w:w="1303" w:type="dxa"/>
            <w:tcBorders>
              <w:top w:val="nil"/>
              <w:left w:val="nil"/>
              <w:bottom w:val="single" w:sz="4" w:space="0" w:color="auto"/>
              <w:right w:val="single" w:sz="4" w:space="0" w:color="auto"/>
            </w:tcBorders>
            <w:shd w:val="clear" w:color="auto" w:fill="auto"/>
            <w:noWrap/>
            <w:vAlign w:val="bottom"/>
            <w:hideMark/>
          </w:tcPr>
          <w:p w14:paraId="125CB409" w14:textId="77777777" w:rsidR="00996F95" w:rsidRDefault="00996F95" w:rsidP="00996F95">
            <w:pPr>
              <w:jc w:val="center"/>
              <w:rPr>
                <w:rFonts w:ascii="Calibri" w:hAnsi="Calibri" w:cs="Calibri"/>
                <w:color w:val="000000"/>
                <w:sz w:val="20"/>
                <w:szCs w:val="20"/>
              </w:rPr>
            </w:pPr>
            <w:proofErr w:type="spellStart"/>
            <w:r>
              <w:rPr>
                <w:rFonts w:ascii="Calibri" w:hAnsi="Calibri" w:cs="Calibri"/>
                <w:color w:val="000000"/>
                <w:sz w:val="20"/>
                <w:szCs w:val="20"/>
              </w:rPr>
              <w:t>Lampner</w:t>
            </w:r>
            <w:proofErr w:type="spellEnd"/>
          </w:p>
        </w:tc>
        <w:tc>
          <w:tcPr>
            <w:tcW w:w="7355" w:type="dxa"/>
            <w:tcBorders>
              <w:top w:val="nil"/>
              <w:left w:val="nil"/>
              <w:bottom w:val="single" w:sz="4" w:space="0" w:color="auto"/>
              <w:right w:val="single" w:sz="4" w:space="0" w:color="auto"/>
            </w:tcBorders>
            <w:shd w:val="clear" w:color="auto" w:fill="auto"/>
            <w:vAlign w:val="bottom"/>
            <w:hideMark/>
          </w:tcPr>
          <w:p w14:paraId="09737A7D"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NA</w:t>
            </w:r>
          </w:p>
        </w:tc>
      </w:tr>
      <w:tr w:rsidR="00996F95" w14:paraId="48C793AA"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4F7DBA0"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Joshua J.</w:t>
            </w:r>
          </w:p>
        </w:tc>
        <w:tc>
          <w:tcPr>
            <w:tcW w:w="1303" w:type="dxa"/>
            <w:tcBorders>
              <w:top w:val="nil"/>
              <w:left w:val="nil"/>
              <w:bottom w:val="single" w:sz="4" w:space="0" w:color="auto"/>
              <w:right w:val="single" w:sz="4" w:space="0" w:color="auto"/>
            </w:tcBorders>
            <w:shd w:val="clear" w:color="auto" w:fill="auto"/>
            <w:noWrap/>
            <w:vAlign w:val="bottom"/>
            <w:hideMark/>
          </w:tcPr>
          <w:p w14:paraId="43B161B1" w14:textId="77777777" w:rsidR="00996F95" w:rsidRDefault="00996F95" w:rsidP="00996F95">
            <w:pPr>
              <w:jc w:val="center"/>
              <w:rPr>
                <w:rFonts w:ascii="Calibri" w:hAnsi="Calibri" w:cs="Calibri"/>
                <w:color w:val="000000"/>
                <w:sz w:val="20"/>
                <w:szCs w:val="20"/>
              </w:rPr>
            </w:pPr>
            <w:proofErr w:type="spellStart"/>
            <w:r>
              <w:rPr>
                <w:rFonts w:ascii="Calibri" w:hAnsi="Calibri" w:cs="Calibri"/>
                <w:color w:val="000000"/>
                <w:sz w:val="20"/>
                <w:szCs w:val="20"/>
              </w:rPr>
              <w:t>Neumiller</w:t>
            </w:r>
            <w:proofErr w:type="spellEnd"/>
          </w:p>
        </w:tc>
        <w:tc>
          <w:tcPr>
            <w:tcW w:w="7355" w:type="dxa"/>
            <w:tcBorders>
              <w:top w:val="nil"/>
              <w:left w:val="nil"/>
              <w:bottom w:val="single" w:sz="4" w:space="0" w:color="auto"/>
              <w:right w:val="single" w:sz="4" w:space="0" w:color="auto"/>
            </w:tcBorders>
            <w:shd w:val="clear" w:color="auto" w:fill="auto"/>
            <w:vAlign w:val="bottom"/>
            <w:hideMark/>
          </w:tcPr>
          <w:p w14:paraId="06FD919B"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Sanofi, Bayer, Boehringer Ingelheim, Eli Lilly: Consultant, Dexcom: Speakers Bureau</w:t>
            </w:r>
          </w:p>
        </w:tc>
      </w:tr>
      <w:tr w:rsidR="00996F95" w14:paraId="7A809FBD"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B78CEFB"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lastRenderedPageBreak/>
              <w:t>Lucia M.</w:t>
            </w:r>
          </w:p>
        </w:tc>
        <w:tc>
          <w:tcPr>
            <w:tcW w:w="1303" w:type="dxa"/>
            <w:tcBorders>
              <w:top w:val="nil"/>
              <w:left w:val="nil"/>
              <w:bottom w:val="single" w:sz="4" w:space="0" w:color="auto"/>
              <w:right w:val="single" w:sz="4" w:space="0" w:color="auto"/>
            </w:tcBorders>
            <w:shd w:val="clear" w:color="auto" w:fill="auto"/>
            <w:noWrap/>
            <w:vAlign w:val="bottom"/>
            <w:hideMark/>
          </w:tcPr>
          <w:p w14:paraId="54A92E14"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Novak</w:t>
            </w:r>
          </w:p>
        </w:tc>
        <w:tc>
          <w:tcPr>
            <w:tcW w:w="7355" w:type="dxa"/>
            <w:tcBorders>
              <w:top w:val="nil"/>
              <w:left w:val="nil"/>
              <w:bottom w:val="single" w:sz="4" w:space="0" w:color="auto"/>
              <w:right w:val="single" w:sz="4" w:space="0" w:color="auto"/>
            </w:tcBorders>
            <w:shd w:val="clear" w:color="auto" w:fill="auto"/>
            <w:vAlign w:val="bottom"/>
            <w:hideMark/>
          </w:tcPr>
          <w:p w14:paraId="79598643"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 xml:space="preserve">Abbott Diabetes Care, </w:t>
            </w:r>
            <w:proofErr w:type="spellStart"/>
            <w:r>
              <w:rPr>
                <w:rFonts w:ascii="Calibri" w:hAnsi="Calibri" w:cs="Calibri"/>
                <w:color w:val="000000"/>
                <w:sz w:val="20"/>
                <w:szCs w:val="20"/>
              </w:rPr>
              <w:t>Ascencia</w:t>
            </w:r>
            <w:proofErr w:type="spellEnd"/>
            <w:r>
              <w:rPr>
                <w:rFonts w:ascii="Calibri" w:hAnsi="Calibri" w:cs="Calibri"/>
                <w:color w:val="000000"/>
                <w:sz w:val="20"/>
                <w:szCs w:val="20"/>
              </w:rPr>
              <w:t>, Boehringer Ingelheim, Medtronic, Novo Nordisk: Consultant, Abbott Diabetes Care, Boehringer, Ingelheim/Eli Lilly Alliance, Novo Nordisk: Speakers Bureau</w:t>
            </w:r>
          </w:p>
        </w:tc>
      </w:tr>
      <w:tr w:rsidR="00996F95" w14:paraId="28DAD7EF"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37D08FA"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Anne</w:t>
            </w:r>
          </w:p>
        </w:tc>
        <w:tc>
          <w:tcPr>
            <w:tcW w:w="1303" w:type="dxa"/>
            <w:tcBorders>
              <w:top w:val="nil"/>
              <w:left w:val="nil"/>
              <w:bottom w:val="single" w:sz="4" w:space="0" w:color="auto"/>
              <w:right w:val="single" w:sz="4" w:space="0" w:color="auto"/>
            </w:tcBorders>
            <w:shd w:val="clear" w:color="auto" w:fill="auto"/>
            <w:noWrap/>
            <w:vAlign w:val="bottom"/>
            <w:hideMark/>
          </w:tcPr>
          <w:p w14:paraId="5ECE2746"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Peters</w:t>
            </w:r>
          </w:p>
        </w:tc>
        <w:tc>
          <w:tcPr>
            <w:tcW w:w="7355" w:type="dxa"/>
            <w:tcBorders>
              <w:top w:val="nil"/>
              <w:left w:val="nil"/>
              <w:bottom w:val="single" w:sz="4" w:space="0" w:color="auto"/>
              <w:right w:val="single" w:sz="4" w:space="0" w:color="auto"/>
            </w:tcBorders>
            <w:shd w:val="clear" w:color="auto" w:fill="auto"/>
            <w:vAlign w:val="bottom"/>
            <w:hideMark/>
          </w:tcPr>
          <w:p w14:paraId="25C59B12"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 xml:space="preserve">Vertex, Lily, Medscape, Abbott: Consultant, </w:t>
            </w:r>
            <w:proofErr w:type="spellStart"/>
            <w:r>
              <w:rPr>
                <w:rFonts w:ascii="Calibri" w:hAnsi="Calibri" w:cs="Calibri"/>
                <w:color w:val="000000"/>
                <w:sz w:val="20"/>
                <w:szCs w:val="20"/>
              </w:rPr>
              <w:t>Insulet</w:t>
            </w:r>
            <w:proofErr w:type="spellEnd"/>
            <w:r>
              <w:rPr>
                <w:rFonts w:ascii="Calibri" w:hAnsi="Calibri" w:cs="Calibri"/>
                <w:color w:val="000000"/>
                <w:sz w:val="20"/>
                <w:szCs w:val="20"/>
              </w:rPr>
              <w:t>, Abbott Diabetes Care: Contracted Research, Teladoc, Omada Health: Ownership Interest</w:t>
            </w:r>
          </w:p>
        </w:tc>
      </w:tr>
      <w:tr w:rsidR="00996F95" w14:paraId="0D019CCA"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E9AAFDB"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Kim</w:t>
            </w:r>
          </w:p>
        </w:tc>
        <w:tc>
          <w:tcPr>
            <w:tcW w:w="1303" w:type="dxa"/>
            <w:tcBorders>
              <w:top w:val="nil"/>
              <w:left w:val="nil"/>
              <w:bottom w:val="single" w:sz="4" w:space="0" w:color="auto"/>
              <w:right w:val="single" w:sz="4" w:space="0" w:color="auto"/>
            </w:tcBorders>
            <w:shd w:val="clear" w:color="auto" w:fill="auto"/>
            <w:noWrap/>
            <w:vAlign w:val="bottom"/>
            <w:hideMark/>
          </w:tcPr>
          <w:p w14:paraId="3F596210" w14:textId="77777777" w:rsidR="00996F95" w:rsidRDefault="00996F95" w:rsidP="00996F95">
            <w:pPr>
              <w:jc w:val="center"/>
              <w:rPr>
                <w:rFonts w:ascii="Calibri" w:hAnsi="Calibri" w:cs="Calibri"/>
                <w:color w:val="000000"/>
                <w:sz w:val="20"/>
                <w:szCs w:val="20"/>
              </w:rPr>
            </w:pPr>
            <w:proofErr w:type="spellStart"/>
            <w:r>
              <w:rPr>
                <w:rFonts w:ascii="Calibri" w:hAnsi="Calibri" w:cs="Calibri"/>
                <w:color w:val="000000"/>
                <w:sz w:val="20"/>
                <w:szCs w:val="20"/>
              </w:rPr>
              <w:t>Pfotenhauer</w:t>
            </w:r>
            <w:proofErr w:type="spellEnd"/>
          </w:p>
        </w:tc>
        <w:tc>
          <w:tcPr>
            <w:tcW w:w="7355" w:type="dxa"/>
            <w:tcBorders>
              <w:top w:val="nil"/>
              <w:left w:val="nil"/>
              <w:bottom w:val="single" w:sz="4" w:space="0" w:color="auto"/>
              <w:right w:val="single" w:sz="4" w:space="0" w:color="auto"/>
            </w:tcBorders>
            <w:shd w:val="clear" w:color="auto" w:fill="auto"/>
            <w:vAlign w:val="bottom"/>
            <w:hideMark/>
          </w:tcPr>
          <w:p w14:paraId="6313E33E"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Abbott Laboratories: Consultant</w:t>
            </w:r>
          </w:p>
        </w:tc>
      </w:tr>
      <w:tr w:rsidR="00996F95" w14:paraId="34368CA3"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1E8AE01"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Richard</w:t>
            </w:r>
          </w:p>
        </w:tc>
        <w:tc>
          <w:tcPr>
            <w:tcW w:w="1303" w:type="dxa"/>
            <w:tcBorders>
              <w:top w:val="nil"/>
              <w:left w:val="nil"/>
              <w:bottom w:val="single" w:sz="4" w:space="0" w:color="auto"/>
              <w:right w:val="single" w:sz="4" w:space="0" w:color="auto"/>
            </w:tcBorders>
            <w:shd w:val="clear" w:color="auto" w:fill="auto"/>
            <w:noWrap/>
            <w:vAlign w:val="bottom"/>
            <w:hideMark/>
          </w:tcPr>
          <w:p w14:paraId="26680DD1"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Pratley</w:t>
            </w:r>
          </w:p>
        </w:tc>
        <w:tc>
          <w:tcPr>
            <w:tcW w:w="7355" w:type="dxa"/>
            <w:tcBorders>
              <w:top w:val="nil"/>
              <w:left w:val="nil"/>
              <w:bottom w:val="single" w:sz="4" w:space="0" w:color="auto"/>
              <w:right w:val="single" w:sz="4" w:space="0" w:color="auto"/>
            </w:tcBorders>
            <w:shd w:val="clear" w:color="auto" w:fill="auto"/>
            <w:vAlign w:val="bottom"/>
            <w:hideMark/>
          </w:tcPr>
          <w:p w14:paraId="00E6E046"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NA</w:t>
            </w:r>
          </w:p>
        </w:tc>
      </w:tr>
      <w:tr w:rsidR="00996F95" w14:paraId="2B967E4A"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BBE0D54"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Jay H.</w:t>
            </w:r>
          </w:p>
        </w:tc>
        <w:tc>
          <w:tcPr>
            <w:tcW w:w="1303" w:type="dxa"/>
            <w:tcBorders>
              <w:top w:val="nil"/>
              <w:left w:val="nil"/>
              <w:bottom w:val="single" w:sz="4" w:space="0" w:color="auto"/>
              <w:right w:val="single" w:sz="4" w:space="0" w:color="auto"/>
            </w:tcBorders>
            <w:shd w:val="clear" w:color="auto" w:fill="auto"/>
            <w:noWrap/>
            <w:vAlign w:val="bottom"/>
            <w:hideMark/>
          </w:tcPr>
          <w:p w14:paraId="351212C4" w14:textId="77777777" w:rsidR="00996F95" w:rsidRDefault="00996F95" w:rsidP="00996F95">
            <w:pPr>
              <w:jc w:val="center"/>
              <w:rPr>
                <w:rFonts w:ascii="Calibri" w:hAnsi="Calibri" w:cs="Calibri"/>
                <w:color w:val="000000"/>
                <w:sz w:val="20"/>
                <w:szCs w:val="20"/>
              </w:rPr>
            </w:pPr>
            <w:proofErr w:type="spellStart"/>
            <w:r>
              <w:rPr>
                <w:rFonts w:ascii="Calibri" w:hAnsi="Calibri" w:cs="Calibri"/>
                <w:color w:val="000000"/>
                <w:sz w:val="20"/>
                <w:szCs w:val="20"/>
              </w:rPr>
              <w:t>Shubrook</w:t>
            </w:r>
            <w:proofErr w:type="spellEnd"/>
          </w:p>
        </w:tc>
        <w:tc>
          <w:tcPr>
            <w:tcW w:w="7355" w:type="dxa"/>
            <w:tcBorders>
              <w:top w:val="nil"/>
              <w:left w:val="nil"/>
              <w:bottom w:val="single" w:sz="4" w:space="0" w:color="auto"/>
              <w:right w:val="single" w:sz="4" w:space="0" w:color="auto"/>
            </w:tcBorders>
            <w:shd w:val="clear" w:color="auto" w:fill="auto"/>
            <w:vAlign w:val="bottom"/>
            <w:hideMark/>
          </w:tcPr>
          <w:p w14:paraId="1166B0BA" w14:textId="77777777" w:rsidR="00996F95" w:rsidRDefault="00996F95" w:rsidP="00996F95">
            <w:pPr>
              <w:jc w:val="center"/>
              <w:rPr>
                <w:rFonts w:ascii="Calibri" w:hAnsi="Calibri" w:cs="Calibri"/>
                <w:color w:val="000000"/>
                <w:sz w:val="20"/>
                <w:szCs w:val="20"/>
              </w:rPr>
            </w:pPr>
            <w:proofErr w:type="spellStart"/>
            <w:r>
              <w:rPr>
                <w:rFonts w:ascii="Calibri" w:hAnsi="Calibri" w:cs="Calibri"/>
                <w:color w:val="000000"/>
                <w:sz w:val="20"/>
                <w:szCs w:val="20"/>
              </w:rPr>
              <w:t>Dompe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NovoNordisk</w:t>
            </w:r>
            <w:proofErr w:type="spellEnd"/>
            <w:r>
              <w:rPr>
                <w:rFonts w:ascii="Calibri" w:hAnsi="Calibri" w:cs="Calibri"/>
                <w:color w:val="000000"/>
                <w:sz w:val="20"/>
                <w:szCs w:val="20"/>
              </w:rPr>
              <w:t>: Grants, Abbott, Bayer, Novo Nordisk: Consultant, Astra Zeneca, Eli Lilly, Nevro: Scientific/Medical Advisory Board</w:t>
            </w:r>
          </w:p>
        </w:tc>
      </w:tr>
      <w:tr w:rsidR="00996F95" w14:paraId="278B2380"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777AD3E"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Jo</w:t>
            </w:r>
          </w:p>
        </w:tc>
        <w:tc>
          <w:tcPr>
            <w:tcW w:w="1303" w:type="dxa"/>
            <w:tcBorders>
              <w:top w:val="nil"/>
              <w:left w:val="nil"/>
              <w:bottom w:val="single" w:sz="4" w:space="0" w:color="auto"/>
              <w:right w:val="single" w:sz="4" w:space="0" w:color="auto"/>
            </w:tcBorders>
            <w:shd w:val="clear" w:color="auto" w:fill="auto"/>
            <w:noWrap/>
            <w:vAlign w:val="bottom"/>
            <w:hideMark/>
          </w:tcPr>
          <w:p w14:paraId="553E093D"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Shultz</w:t>
            </w:r>
          </w:p>
        </w:tc>
        <w:tc>
          <w:tcPr>
            <w:tcW w:w="7355" w:type="dxa"/>
            <w:tcBorders>
              <w:top w:val="nil"/>
              <w:left w:val="nil"/>
              <w:bottom w:val="single" w:sz="4" w:space="0" w:color="auto"/>
              <w:right w:val="single" w:sz="4" w:space="0" w:color="auto"/>
            </w:tcBorders>
            <w:shd w:val="clear" w:color="auto" w:fill="auto"/>
            <w:vAlign w:val="bottom"/>
            <w:hideMark/>
          </w:tcPr>
          <w:p w14:paraId="47F545FF"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NA</w:t>
            </w:r>
          </w:p>
        </w:tc>
      </w:tr>
      <w:tr w:rsidR="00996F95" w14:paraId="72997042" w14:textId="77777777" w:rsidTr="00996F95">
        <w:trPr>
          <w:trHeight w:val="20"/>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FDDB381"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Lauren</w:t>
            </w:r>
          </w:p>
        </w:tc>
        <w:tc>
          <w:tcPr>
            <w:tcW w:w="1303" w:type="dxa"/>
            <w:tcBorders>
              <w:top w:val="nil"/>
              <w:left w:val="nil"/>
              <w:bottom w:val="single" w:sz="4" w:space="0" w:color="auto"/>
              <w:right w:val="single" w:sz="4" w:space="0" w:color="auto"/>
            </w:tcBorders>
            <w:shd w:val="clear" w:color="auto" w:fill="auto"/>
            <w:noWrap/>
            <w:vAlign w:val="bottom"/>
            <w:hideMark/>
          </w:tcPr>
          <w:p w14:paraId="173C12B7"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Welch</w:t>
            </w:r>
          </w:p>
        </w:tc>
        <w:tc>
          <w:tcPr>
            <w:tcW w:w="7355" w:type="dxa"/>
            <w:tcBorders>
              <w:top w:val="nil"/>
              <w:left w:val="nil"/>
              <w:bottom w:val="single" w:sz="4" w:space="0" w:color="auto"/>
              <w:right w:val="single" w:sz="4" w:space="0" w:color="auto"/>
            </w:tcBorders>
            <w:shd w:val="clear" w:color="auto" w:fill="auto"/>
            <w:vAlign w:val="bottom"/>
            <w:hideMark/>
          </w:tcPr>
          <w:p w14:paraId="76A6A874" w14:textId="77777777" w:rsidR="00996F95" w:rsidRDefault="00996F95" w:rsidP="00996F95">
            <w:pPr>
              <w:jc w:val="center"/>
              <w:rPr>
                <w:rFonts w:ascii="Calibri" w:hAnsi="Calibri" w:cs="Calibri"/>
                <w:color w:val="000000"/>
                <w:sz w:val="20"/>
                <w:szCs w:val="20"/>
              </w:rPr>
            </w:pPr>
            <w:r>
              <w:rPr>
                <w:rFonts w:ascii="Calibri" w:hAnsi="Calibri" w:cs="Calibri"/>
                <w:color w:val="000000"/>
                <w:sz w:val="20"/>
                <w:szCs w:val="20"/>
              </w:rPr>
              <w:t>NA</w:t>
            </w:r>
          </w:p>
        </w:tc>
      </w:tr>
    </w:tbl>
    <w:p w14:paraId="40EF7E90" w14:textId="77777777" w:rsidR="00FC227D" w:rsidRDefault="00FC227D" w:rsidP="00680919">
      <w:pPr>
        <w:tabs>
          <w:tab w:val="left" w:pos="10260"/>
        </w:tabs>
        <w:ind w:right="79"/>
        <w:rPr>
          <w:rFonts w:ascii="Calibri" w:hAnsi="Calibri" w:cs="Calibri"/>
          <w:sz w:val="20"/>
          <w:szCs w:val="20"/>
        </w:rPr>
      </w:pPr>
    </w:p>
    <w:p w14:paraId="6967D795" w14:textId="13D72D3F"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FFE3" w14:textId="77777777" w:rsidR="00642102" w:rsidRDefault="00642102">
      <w:r>
        <w:separator/>
      </w:r>
    </w:p>
  </w:endnote>
  <w:endnote w:type="continuationSeparator" w:id="0">
    <w:p w14:paraId="0ED523ED" w14:textId="77777777" w:rsidR="00642102" w:rsidRDefault="0064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8E00" w14:textId="77777777" w:rsidR="00642102" w:rsidRDefault="00642102">
      <w:r>
        <w:separator/>
      </w:r>
    </w:p>
  </w:footnote>
  <w:footnote w:type="continuationSeparator" w:id="0">
    <w:p w14:paraId="4DBAC774" w14:textId="77777777" w:rsidR="00642102" w:rsidRDefault="00642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4CC30A54"/>
    <w:multiLevelType w:val="multilevel"/>
    <w:tmpl w:val="DBBA192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5" w15:restartNumberingAfterBreak="0">
    <w:nsid w:val="56274C95"/>
    <w:multiLevelType w:val="hybridMultilevel"/>
    <w:tmpl w:val="B3869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3E801CD"/>
    <w:multiLevelType w:val="hybridMultilevel"/>
    <w:tmpl w:val="72360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BC2430"/>
    <w:multiLevelType w:val="multilevel"/>
    <w:tmpl w:val="1478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25E11"/>
    <w:multiLevelType w:val="hybridMultilevel"/>
    <w:tmpl w:val="93A6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A56BF"/>
    <w:multiLevelType w:val="hybridMultilevel"/>
    <w:tmpl w:val="3DF68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1798300">
    <w:abstractNumId w:val="1"/>
  </w:num>
  <w:num w:numId="2" w16cid:durableId="2061787139">
    <w:abstractNumId w:val="20"/>
  </w:num>
  <w:num w:numId="3" w16cid:durableId="1119490753">
    <w:abstractNumId w:val="16"/>
  </w:num>
  <w:num w:numId="4" w16cid:durableId="653530765">
    <w:abstractNumId w:val="9"/>
  </w:num>
  <w:num w:numId="5" w16cid:durableId="73287938">
    <w:abstractNumId w:val="12"/>
  </w:num>
  <w:num w:numId="6" w16cid:durableId="1025210169">
    <w:abstractNumId w:val="6"/>
  </w:num>
  <w:num w:numId="7" w16cid:durableId="354574259">
    <w:abstractNumId w:val="11"/>
  </w:num>
  <w:num w:numId="8" w16cid:durableId="1172526153">
    <w:abstractNumId w:val="0"/>
  </w:num>
  <w:num w:numId="9" w16cid:durableId="1557282372">
    <w:abstractNumId w:val="10"/>
  </w:num>
  <w:num w:numId="10" w16cid:durableId="871654741">
    <w:abstractNumId w:val="19"/>
  </w:num>
  <w:num w:numId="11" w16cid:durableId="1636375364">
    <w:abstractNumId w:val="22"/>
  </w:num>
  <w:num w:numId="12" w16cid:durableId="890002285">
    <w:abstractNumId w:val="7"/>
  </w:num>
  <w:num w:numId="13" w16cid:durableId="314843388">
    <w:abstractNumId w:val="13"/>
  </w:num>
  <w:num w:numId="14" w16cid:durableId="704719286">
    <w:abstractNumId w:val="4"/>
  </w:num>
  <w:num w:numId="15" w16cid:durableId="571232271">
    <w:abstractNumId w:val="5"/>
  </w:num>
  <w:num w:numId="16" w16cid:durableId="37558129">
    <w:abstractNumId w:val="21"/>
  </w:num>
  <w:num w:numId="17" w16cid:durableId="1086999320">
    <w:abstractNumId w:val="2"/>
  </w:num>
  <w:num w:numId="18" w16cid:durableId="1579317205">
    <w:abstractNumId w:val="3"/>
  </w:num>
  <w:num w:numId="19" w16cid:durableId="914048661">
    <w:abstractNumId w:val="23"/>
  </w:num>
  <w:num w:numId="20" w16cid:durableId="497892040">
    <w:abstractNumId w:val="8"/>
  </w:num>
  <w:num w:numId="21" w16cid:durableId="1621885183">
    <w:abstractNumId w:val="15"/>
  </w:num>
  <w:num w:numId="22" w16cid:durableId="1329207168">
    <w:abstractNumId w:val="24"/>
  </w:num>
  <w:num w:numId="23" w16cid:durableId="2031057562">
    <w:abstractNumId w:val="17"/>
  </w:num>
  <w:num w:numId="24" w16cid:durableId="1100874029">
    <w:abstractNumId w:val="14"/>
  </w:num>
  <w:num w:numId="25" w16cid:durableId="1401295532">
    <w:abstractNumId w:val="18"/>
  </w:num>
  <w:num w:numId="26" w16cid:durableId="3385786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24E15"/>
    <w:rsid w:val="00037C14"/>
    <w:rsid w:val="0004783D"/>
    <w:rsid w:val="00077C64"/>
    <w:rsid w:val="000819FF"/>
    <w:rsid w:val="000846C2"/>
    <w:rsid w:val="00087ADC"/>
    <w:rsid w:val="000D358C"/>
    <w:rsid w:val="000D41E1"/>
    <w:rsid w:val="000E28F2"/>
    <w:rsid w:val="000E4F54"/>
    <w:rsid w:val="00140D51"/>
    <w:rsid w:val="001510F6"/>
    <w:rsid w:val="00151162"/>
    <w:rsid w:val="00152838"/>
    <w:rsid w:val="00166735"/>
    <w:rsid w:val="001848EE"/>
    <w:rsid w:val="0019185C"/>
    <w:rsid w:val="001B1F11"/>
    <w:rsid w:val="001C0056"/>
    <w:rsid w:val="001C1B13"/>
    <w:rsid w:val="001C2CE7"/>
    <w:rsid w:val="00213E8B"/>
    <w:rsid w:val="002256EC"/>
    <w:rsid w:val="00232D6C"/>
    <w:rsid w:val="00240A06"/>
    <w:rsid w:val="00240D28"/>
    <w:rsid w:val="00253593"/>
    <w:rsid w:val="002566AF"/>
    <w:rsid w:val="00275524"/>
    <w:rsid w:val="00276C19"/>
    <w:rsid w:val="002853FE"/>
    <w:rsid w:val="002926D0"/>
    <w:rsid w:val="002A6D32"/>
    <w:rsid w:val="002A763A"/>
    <w:rsid w:val="002D3DE4"/>
    <w:rsid w:val="002E0AF1"/>
    <w:rsid w:val="00305D46"/>
    <w:rsid w:val="003271BB"/>
    <w:rsid w:val="00341BC1"/>
    <w:rsid w:val="00357D48"/>
    <w:rsid w:val="003715A0"/>
    <w:rsid w:val="00381532"/>
    <w:rsid w:val="003855D2"/>
    <w:rsid w:val="003857A5"/>
    <w:rsid w:val="0039066A"/>
    <w:rsid w:val="003B3F31"/>
    <w:rsid w:val="003C6D67"/>
    <w:rsid w:val="00403BCB"/>
    <w:rsid w:val="004272CA"/>
    <w:rsid w:val="00435579"/>
    <w:rsid w:val="00451CF6"/>
    <w:rsid w:val="0048004A"/>
    <w:rsid w:val="004831FD"/>
    <w:rsid w:val="004D07C8"/>
    <w:rsid w:val="004D2CBE"/>
    <w:rsid w:val="004E257B"/>
    <w:rsid w:val="004F0F88"/>
    <w:rsid w:val="00556974"/>
    <w:rsid w:val="00576AAF"/>
    <w:rsid w:val="005847F1"/>
    <w:rsid w:val="005961A9"/>
    <w:rsid w:val="005A0282"/>
    <w:rsid w:val="005B53FB"/>
    <w:rsid w:val="005C5AE4"/>
    <w:rsid w:val="005D26F9"/>
    <w:rsid w:val="005E51D2"/>
    <w:rsid w:val="005F2496"/>
    <w:rsid w:val="00605C75"/>
    <w:rsid w:val="00621DD1"/>
    <w:rsid w:val="00642102"/>
    <w:rsid w:val="00663EA6"/>
    <w:rsid w:val="00673BF5"/>
    <w:rsid w:val="00680919"/>
    <w:rsid w:val="006838F4"/>
    <w:rsid w:val="00686D4A"/>
    <w:rsid w:val="00693C5A"/>
    <w:rsid w:val="006C6AE4"/>
    <w:rsid w:val="006E6C39"/>
    <w:rsid w:val="006F037C"/>
    <w:rsid w:val="006F3301"/>
    <w:rsid w:val="00747D53"/>
    <w:rsid w:val="0077308E"/>
    <w:rsid w:val="00781F60"/>
    <w:rsid w:val="00787F1F"/>
    <w:rsid w:val="007B7A8E"/>
    <w:rsid w:val="007D0297"/>
    <w:rsid w:val="007D065B"/>
    <w:rsid w:val="007F34BD"/>
    <w:rsid w:val="008407ED"/>
    <w:rsid w:val="0084583D"/>
    <w:rsid w:val="00863B0A"/>
    <w:rsid w:val="0088021A"/>
    <w:rsid w:val="008A0E35"/>
    <w:rsid w:val="008C6004"/>
    <w:rsid w:val="008D1BA0"/>
    <w:rsid w:val="008D3F6A"/>
    <w:rsid w:val="008E34D5"/>
    <w:rsid w:val="009123FB"/>
    <w:rsid w:val="00924BE6"/>
    <w:rsid w:val="0093700F"/>
    <w:rsid w:val="00937C57"/>
    <w:rsid w:val="00984C1A"/>
    <w:rsid w:val="0099091B"/>
    <w:rsid w:val="00996F95"/>
    <w:rsid w:val="009B670A"/>
    <w:rsid w:val="009B6C80"/>
    <w:rsid w:val="009E45ED"/>
    <w:rsid w:val="00A1033F"/>
    <w:rsid w:val="00A31760"/>
    <w:rsid w:val="00A36343"/>
    <w:rsid w:val="00A447A7"/>
    <w:rsid w:val="00A56E2F"/>
    <w:rsid w:val="00A804CE"/>
    <w:rsid w:val="00A939E0"/>
    <w:rsid w:val="00AB25F8"/>
    <w:rsid w:val="00AB3E89"/>
    <w:rsid w:val="00AD3F18"/>
    <w:rsid w:val="00B4657A"/>
    <w:rsid w:val="00B56893"/>
    <w:rsid w:val="00B6768F"/>
    <w:rsid w:val="00B86324"/>
    <w:rsid w:val="00B94A29"/>
    <w:rsid w:val="00B96A23"/>
    <w:rsid w:val="00B97982"/>
    <w:rsid w:val="00BB3248"/>
    <w:rsid w:val="00BC691F"/>
    <w:rsid w:val="00BD09C8"/>
    <w:rsid w:val="00BD455F"/>
    <w:rsid w:val="00BD773D"/>
    <w:rsid w:val="00BE74FE"/>
    <w:rsid w:val="00C044D5"/>
    <w:rsid w:val="00C17621"/>
    <w:rsid w:val="00C24415"/>
    <w:rsid w:val="00C26057"/>
    <w:rsid w:val="00C5478B"/>
    <w:rsid w:val="00C55FB3"/>
    <w:rsid w:val="00C67F5C"/>
    <w:rsid w:val="00C74665"/>
    <w:rsid w:val="00C80148"/>
    <w:rsid w:val="00C94B39"/>
    <w:rsid w:val="00CA4DFA"/>
    <w:rsid w:val="00CA6A6D"/>
    <w:rsid w:val="00CC2D7B"/>
    <w:rsid w:val="00CC3003"/>
    <w:rsid w:val="00CD07F9"/>
    <w:rsid w:val="00CD5539"/>
    <w:rsid w:val="00CE1E1D"/>
    <w:rsid w:val="00CE20E0"/>
    <w:rsid w:val="00CF79BA"/>
    <w:rsid w:val="00D03240"/>
    <w:rsid w:val="00D320FB"/>
    <w:rsid w:val="00D34C74"/>
    <w:rsid w:val="00D50DA6"/>
    <w:rsid w:val="00D56D6A"/>
    <w:rsid w:val="00D603E3"/>
    <w:rsid w:val="00D60566"/>
    <w:rsid w:val="00D92754"/>
    <w:rsid w:val="00D9545C"/>
    <w:rsid w:val="00DC32AA"/>
    <w:rsid w:val="00DC3ECD"/>
    <w:rsid w:val="00DD1F49"/>
    <w:rsid w:val="00DD59CA"/>
    <w:rsid w:val="00DD7D13"/>
    <w:rsid w:val="00DE0839"/>
    <w:rsid w:val="00DE40D3"/>
    <w:rsid w:val="00E24014"/>
    <w:rsid w:val="00E255C2"/>
    <w:rsid w:val="00E30E1E"/>
    <w:rsid w:val="00E41B3B"/>
    <w:rsid w:val="00E43A22"/>
    <w:rsid w:val="00E4703C"/>
    <w:rsid w:val="00E5493A"/>
    <w:rsid w:val="00E67C5B"/>
    <w:rsid w:val="00E7360C"/>
    <w:rsid w:val="00E9653F"/>
    <w:rsid w:val="00EB7688"/>
    <w:rsid w:val="00F12A6F"/>
    <w:rsid w:val="00F3348F"/>
    <w:rsid w:val="00F61D74"/>
    <w:rsid w:val="00F76336"/>
    <w:rsid w:val="00FA78CE"/>
    <w:rsid w:val="00FC227D"/>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E74FE"/>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 w:type="character" w:customStyle="1" w:styleId="normaltextrun">
    <w:name w:val="normaltextrun"/>
    <w:basedOn w:val="DefaultParagraphFont"/>
    <w:rsid w:val="00166735"/>
  </w:style>
  <w:style w:type="paragraph" w:customStyle="1" w:styleId="paragraph">
    <w:name w:val="paragraph"/>
    <w:basedOn w:val="Normal"/>
    <w:rsid w:val="00F3348F"/>
    <w:pPr>
      <w:spacing w:before="100" w:beforeAutospacing="1" w:after="100" w:afterAutospacing="1"/>
    </w:pPr>
  </w:style>
  <w:style w:type="character" w:customStyle="1" w:styleId="eop">
    <w:name w:val="eop"/>
    <w:basedOn w:val="DefaultParagraphFont"/>
    <w:rsid w:val="00F3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0966407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592471907">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61812491">
      <w:bodyDiv w:val="1"/>
      <w:marLeft w:val="0"/>
      <w:marRight w:val="0"/>
      <w:marTop w:val="0"/>
      <w:marBottom w:val="0"/>
      <w:divBdr>
        <w:top w:val="none" w:sz="0" w:space="0" w:color="auto"/>
        <w:left w:val="none" w:sz="0" w:space="0" w:color="auto"/>
        <w:bottom w:val="none" w:sz="0" w:space="0" w:color="auto"/>
        <w:right w:val="none" w:sz="0" w:space="0" w:color="auto"/>
      </w:divBdr>
    </w:div>
    <w:div w:id="980229806">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22249365">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149">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8190168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3476</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36</cp:revision>
  <cp:lastPrinted>2011-08-31T15:42:00Z</cp:lastPrinted>
  <dcterms:created xsi:type="dcterms:W3CDTF">2023-01-17T21:32:00Z</dcterms:created>
  <dcterms:modified xsi:type="dcterms:W3CDTF">2023-11-16T17:18:00Z</dcterms:modified>
</cp:coreProperties>
</file>