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DA09" w14:textId="77777777" w:rsidR="009E0381" w:rsidRPr="004C1F42" w:rsidRDefault="009E0381" w:rsidP="009E0381">
      <w:pPr>
        <w:spacing w:line="288" w:lineRule="atLeast"/>
        <w:jc w:val="center"/>
        <w:rPr>
          <w:rFonts w:ascii="Calibri" w:hAnsi="Calibri" w:cs="Calibri"/>
          <w:b/>
          <w:i/>
          <w:color w:val="5B9BD5"/>
          <w:sz w:val="32"/>
          <w:szCs w:val="32"/>
        </w:rPr>
      </w:pPr>
      <w:r w:rsidRPr="004C1F42">
        <w:rPr>
          <w:rFonts w:ascii="Calibri" w:hAnsi="Calibri" w:cs="Calibri"/>
          <w:b/>
          <w:i/>
          <w:color w:val="5B9BD5"/>
          <w:sz w:val="32"/>
          <w:szCs w:val="32"/>
        </w:rPr>
        <w:t>CATALYST: Insights from the Experts to Navigate a Complex and Evolving Landscape in CLL and AML Management</w:t>
      </w:r>
    </w:p>
    <w:p w14:paraId="66D0D59C" w14:textId="77777777" w:rsidR="009E0381" w:rsidRPr="004C1F42" w:rsidRDefault="009E0381" w:rsidP="00EE14B9">
      <w:pPr>
        <w:jc w:val="center"/>
        <w:rPr>
          <w:b/>
          <w:sz w:val="28"/>
          <w:szCs w:val="28"/>
        </w:rPr>
      </w:pPr>
    </w:p>
    <w:p w14:paraId="141142A5" w14:textId="47857B1D" w:rsidR="00EE14B9" w:rsidRPr="004C1F42" w:rsidRDefault="00EE14B9" w:rsidP="00EE14B9">
      <w:pPr>
        <w:jc w:val="center"/>
        <w:rPr>
          <w:b/>
          <w:sz w:val="28"/>
          <w:szCs w:val="28"/>
        </w:rPr>
      </w:pPr>
      <w:r w:rsidRPr="004C1F42">
        <w:rPr>
          <w:b/>
          <w:sz w:val="28"/>
          <w:szCs w:val="28"/>
        </w:rPr>
        <w:t>TOOLKIT</w:t>
      </w:r>
    </w:p>
    <w:p w14:paraId="70A7834E" w14:textId="4B0C5BCA" w:rsidR="00EE14B9" w:rsidRPr="004C1F42" w:rsidRDefault="00EE14B9" w:rsidP="00856BF7">
      <w:pPr>
        <w:jc w:val="center"/>
        <w:rPr>
          <w:b/>
          <w:sz w:val="28"/>
          <w:szCs w:val="28"/>
        </w:rPr>
      </w:pPr>
    </w:p>
    <w:p w14:paraId="342A265B" w14:textId="07C324CC" w:rsidR="00856BF7" w:rsidRPr="004C1F42" w:rsidRDefault="00856BF7" w:rsidP="00856BF7">
      <w:pPr>
        <w:jc w:val="center"/>
        <w:rPr>
          <w:b/>
          <w:sz w:val="28"/>
          <w:szCs w:val="28"/>
        </w:rPr>
      </w:pPr>
      <w:r w:rsidRPr="004C1F42">
        <w:rPr>
          <w:b/>
          <w:sz w:val="28"/>
          <w:szCs w:val="28"/>
        </w:rPr>
        <w:t>Chronic Lymphocytic Leukemia (CLL)</w:t>
      </w:r>
    </w:p>
    <w:p w14:paraId="45730F69" w14:textId="7EFCD067" w:rsidR="00587D51" w:rsidRPr="004C7370" w:rsidRDefault="00587D51" w:rsidP="00587D51">
      <w:pPr>
        <w:rPr>
          <w:szCs w:val="28"/>
        </w:rPr>
      </w:pPr>
    </w:p>
    <w:tbl>
      <w:tblPr>
        <w:tblStyle w:val="GridTable4-Accent11"/>
        <w:tblW w:w="0" w:type="auto"/>
        <w:tblLayout w:type="fixed"/>
        <w:tblLook w:val="04A0" w:firstRow="1" w:lastRow="0" w:firstColumn="1" w:lastColumn="0" w:noHBand="0" w:noVBand="1"/>
      </w:tblPr>
      <w:tblGrid>
        <w:gridCol w:w="4675"/>
        <w:gridCol w:w="4675"/>
      </w:tblGrid>
      <w:tr w:rsidR="00D405E6" w:rsidRPr="004C1F42" w14:paraId="08CC91F5" w14:textId="77777777" w:rsidTr="004C7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FE97F7" w14:textId="77777777" w:rsidR="00D405E6" w:rsidRPr="004C1F42" w:rsidRDefault="00D405E6" w:rsidP="00193640">
            <w:r w:rsidRPr="004C1F42">
              <w:t>Resource</w:t>
            </w:r>
          </w:p>
        </w:tc>
        <w:tc>
          <w:tcPr>
            <w:tcW w:w="4675" w:type="dxa"/>
          </w:tcPr>
          <w:p w14:paraId="0218B461" w14:textId="77777777" w:rsidR="00D405E6" w:rsidRPr="004C1F42" w:rsidRDefault="00D405E6" w:rsidP="00193640">
            <w:pPr>
              <w:cnfStyle w:val="100000000000" w:firstRow="1" w:lastRow="0" w:firstColumn="0" w:lastColumn="0" w:oddVBand="0" w:evenVBand="0" w:oddHBand="0" w:evenHBand="0" w:firstRowFirstColumn="0" w:firstRowLastColumn="0" w:lastRowFirstColumn="0" w:lastRowLastColumn="0"/>
            </w:pPr>
            <w:r w:rsidRPr="004C1F42">
              <w:t>Web Address</w:t>
            </w:r>
          </w:p>
        </w:tc>
      </w:tr>
      <w:tr w:rsidR="00F06442" w:rsidRPr="004C1F42" w14:paraId="554FF4B3"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07F7216" w14:textId="0EDD8EAD" w:rsidR="00F06442" w:rsidRPr="004C7370" w:rsidRDefault="00F06442" w:rsidP="009E0F04">
            <w:pPr>
              <w:rPr>
                <w:sz w:val="22"/>
                <w:szCs w:val="22"/>
              </w:rPr>
            </w:pPr>
            <w:r>
              <w:rPr>
                <w:rFonts w:ascii="Calibri" w:hAnsi="Calibri"/>
                <w:color w:val="000000"/>
                <w:sz w:val="22"/>
                <w:szCs w:val="22"/>
              </w:rPr>
              <w:t>Agency for Healthcare Research and Quality (AHRQ). The SHARE Approach: A Model for Shared Decision Making. April 2016.</w:t>
            </w:r>
          </w:p>
        </w:tc>
        <w:tc>
          <w:tcPr>
            <w:tcW w:w="4675" w:type="dxa"/>
          </w:tcPr>
          <w:p w14:paraId="6448BB8D" w14:textId="64B73246"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5" w:history="1">
              <w:r w:rsidR="00F06442">
                <w:rPr>
                  <w:rStyle w:val="Hyperlink"/>
                  <w:rFonts w:ascii="Calibri" w:hAnsi="Calibri"/>
                  <w:sz w:val="22"/>
                  <w:szCs w:val="22"/>
                </w:rPr>
                <w:t>www.ahrq.gov/sites/default/files/publications/files/share-approach_factsheet.pdf</w:t>
              </w:r>
            </w:hyperlink>
          </w:p>
        </w:tc>
      </w:tr>
      <w:tr w:rsidR="00F06442" w:rsidRPr="004C1F42" w14:paraId="6F1DCAC7"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776B671E" w14:textId="6310A6CE" w:rsidR="00F06442" w:rsidRPr="00F06442" w:rsidRDefault="00F06442" w:rsidP="009E0F04">
            <w:pPr>
              <w:rPr>
                <w:sz w:val="22"/>
                <w:szCs w:val="22"/>
              </w:rPr>
            </w:pPr>
            <w:r w:rsidRPr="00F06442">
              <w:rPr>
                <w:rFonts w:ascii="Calibri" w:hAnsi="Calibri"/>
                <w:sz w:val="22"/>
                <w:szCs w:val="22"/>
              </w:rPr>
              <w:t>Al-</w:t>
            </w:r>
            <w:proofErr w:type="spellStart"/>
            <w:r w:rsidRPr="00F06442">
              <w:rPr>
                <w:rFonts w:ascii="Calibri" w:hAnsi="Calibri"/>
                <w:sz w:val="22"/>
                <w:szCs w:val="22"/>
              </w:rPr>
              <w:t>Sawaf</w:t>
            </w:r>
            <w:proofErr w:type="spellEnd"/>
            <w:r w:rsidRPr="00F06442">
              <w:rPr>
                <w:rFonts w:ascii="Calibri" w:hAnsi="Calibri"/>
                <w:sz w:val="22"/>
                <w:szCs w:val="22"/>
              </w:rPr>
              <w:t xml:space="preserve"> O, Zhang C, Tandon M, et al. Venetoclax plus obinutuzumab versus chlorambucil plus obinutuzumab for previously untreated chronic lymphocytic </w:t>
            </w:r>
            <w:proofErr w:type="spellStart"/>
            <w:r w:rsidRPr="00F06442">
              <w:rPr>
                <w:rFonts w:ascii="Calibri" w:hAnsi="Calibri"/>
                <w:sz w:val="22"/>
                <w:szCs w:val="22"/>
              </w:rPr>
              <w:t>leukaemia</w:t>
            </w:r>
            <w:proofErr w:type="spellEnd"/>
            <w:r w:rsidRPr="00F06442">
              <w:rPr>
                <w:rFonts w:ascii="Calibri" w:hAnsi="Calibri"/>
                <w:sz w:val="22"/>
                <w:szCs w:val="22"/>
              </w:rPr>
              <w:t xml:space="preserve"> (CLL14): Follow-up results from a multicentre, open-label, randomised, phase 3 trial. Lancet Oncol. </w:t>
            </w:r>
            <w:proofErr w:type="gramStart"/>
            <w:r w:rsidRPr="00F06442">
              <w:rPr>
                <w:rFonts w:ascii="Calibri" w:hAnsi="Calibri"/>
                <w:sz w:val="22"/>
                <w:szCs w:val="22"/>
              </w:rPr>
              <w:t>2020;21:1188</w:t>
            </w:r>
            <w:proofErr w:type="gramEnd"/>
            <w:r w:rsidRPr="00F06442">
              <w:rPr>
                <w:rFonts w:ascii="Calibri" w:hAnsi="Calibri"/>
                <w:sz w:val="22"/>
                <w:szCs w:val="22"/>
              </w:rPr>
              <w:t>-1200.</w:t>
            </w:r>
          </w:p>
        </w:tc>
        <w:tc>
          <w:tcPr>
            <w:tcW w:w="4675" w:type="dxa"/>
          </w:tcPr>
          <w:p w14:paraId="6E5FDFE8" w14:textId="10DC24F3"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sz w:val="22"/>
                <w:szCs w:val="22"/>
              </w:rPr>
            </w:pPr>
            <w:hyperlink r:id="rId6" w:history="1">
              <w:r w:rsidR="00F06442">
                <w:rPr>
                  <w:rStyle w:val="Hyperlink"/>
                  <w:rFonts w:ascii="Calibri" w:hAnsi="Calibri"/>
                  <w:sz w:val="22"/>
                  <w:szCs w:val="22"/>
                </w:rPr>
                <w:t>https://pubmed.ncbi.nlm.nih.gov/32888452/</w:t>
              </w:r>
            </w:hyperlink>
          </w:p>
        </w:tc>
      </w:tr>
      <w:tr w:rsidR="00F06442" w:rsidRPr="004C1F42" w14:paraId="003613B6"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4F92C1A" w14:textId="68823845" w:rsidR="00F06442" w:rsidRPr="009E0F04" w:rsidRDefault="00F06442" w:rsidP="004C7370">
            <w:pPr>
              <w:pStyle w:val="NormalWeb"/>
              <w:spacing w:before="0" w:beforeAutospacing="0" w:after="0" w:afterAutospacing="0"/>
              <w:rPr>
                <w:rFonts w:asciiTheme="minorHAnsi" w:hAnsiTheme="minorHAnsi" w:cstheme="minorHAnsi"/>
                <w:color w:val="111111"/>
                <w:sz w:val="22"/>
                <w:szCs w:val="22"/>
              </w:rPr>
            </w:pPr>
            <w:r>
              <w:rPr>
                <w:rFonts w:ascii="Calibri" w:hAnsi="Calibri"/>
                <w:color w:val="000000"/>
                <w:sz w:val="22"/>
                <w:szCs w:val="22"/>
              </w:rPr>
              <w:t>American Cancer Society. Cancer Facts &amp; Figures 2021. Accessed September 28, 2021.</w:t>
            </w:r>
          </w:p>
        </w:tc>
        <w:tc>
          <w:tcPr>
            <w:tcW w:w="4675" w:type="dxa"/>
          </w:tcPr>
          <w:p w14:paraId="461DCC5E" w14:textId="66B59F88"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rStyle w:val="Hyperlink"/>
                <w:b/>
                <w:sz w:val="22"/>
                <w:szCs w:val="22"/>
              </w:rPr>
            </w:pPr>
            <w:hyperlink r:id="rId7" w:history="1">
              <w:r w:rsidR="00F06442">
                <w:rPr>
                  <w:rStyle w:val="Hyperlink"/>
                  <w:rFonts w:ascii="Calibri" w:hAnsi="Calibri"/>
                  <w:bCs/>
                  <w:sz w:val="22"/>
                  <w:szCs w:val="22"/>
                </w:rPr>
                <w:t>https://www.cancer.org/research/cancer-facts-statistics/all-cancer-facts-figures/cancer-facts-figures-2021.html</w:t>
              </w:r>
            </w:hyperlink>
          </w:p>
        </w:tc>
      </w:tr>
      <w:tr w:rsidR="00F06442" w:rsidRPr="004C1F42" w14:paraId="6F239F62"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43056EF0" w14:textId="60B616E5" w:rsidR="00F06442" w:rsidRPr="004C7370" w:rsidRDefault="00F06442" w:rsidP="009E0F04">
            <w:pPr>
              <w:rPr>
                <w:sz w:val="22"/>
                <w:szCs w:val="22"/>
              </w:rPr>
            </w:pPr>
            <w:r>
              <w:rPr>
                <w:rFonts w:ascii="Calibri" w:hAnsi="Calibri"/>
                <w:color w:val="000000"/>
                <w:sz w:val="22"/>
                <w:szCs w:val="22"/>
              </w:rPr>
              <w:t>American Cancer Society. Chronic Lymphocytic Leukemia (CLL). Accessed September 28, 2021.</w:t>
            </w:r>
          </w:p>
        </w:tc>
        <w:tc>
          <w:tcPr>
            <w:tcW w:w="4675" w:type="dxa"/>
          </w:tcPr>
          <w:p w14:paraId="427DCCB9" w14:textId="44993E03"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8" w:history="1">
              <w:r w:rsidR="00F06442">
                <w:rPr>
                  <w:rStyle w:val="Hyperlink"/>
                  <w:rFonts w:ascii="Calibri" w:hAnsi="Calibri"/>
                  <w:bCs/>
                  <w:sz w:val="22"/>
                  <w:szCs w:val="22"/>
                </w:rPr>
                <w:t>https://www.cancer.org/cancer/chronic-lymphocytic-leukemia.html</w:t>
              </w:r>
            </w:hyperlink>
          </w:p>
        </w:tc>
      </w:tr>
      <w:tr w:rsidR="00F06442" w:rsidRPr="004C1F42" w14:paraId="083A6C55"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44A66C0F" w14:textId="45ECC55E" w:rsidR="00F06442" w:rsidRPr="004C7370" w:rsidRDefault="00F06442" w:rsidP="004C7370">
            <w:pPr>
              <w:rPr>
                <w:rFonts w:eastAsia="Times New Roman" w:cstheme="minorHAnsi"/>
                <w:color w:val="111111"/>
                <w:sz w:val="22"/>
                <w:szCs w:val="22"/>
              </w:rPr>
            </w:pPr>
            <w:r>
              <w:rPr>
                <w:rFonts w:ascii="Calibri" w:hAnsi="Calibri"/>
                <w:color w:val="000000"/>
                <w:sz w:val="22"/>
                <w:szCs w:val="22"/>
              </w:rPr>
              <w:t xml:space="preserve">Burger JA, Barr PM, </w:t>
            </w:r>
            <w:proofErr w:type="spellStart"/>
            <w:r>
              <w:rPr>
                <w:rFonts w:ascii="Calibri" w:hAnsi="Calibri"/>
                <w:color w:val="000000"/>
                <w:sz w:val="22"/>
                <w:szCs w:val="22"/>
              </w:rPr>
              <w:t>Robak</w:t>
            </w:r>
            <w:proofErr w:type="spellEnd"/>
            <w:r>
              <w:rPr>
                <w:rFonts w:ascii="Calibri" w:hAnsi="Calibri"/>
                <w:color w:val="000000"/>
                <w:sz w:val="22"/>
                <w:szCs w:val="22"/>
              </w:rPr>
              <w:t xml:space="preserve"> T, et al. Long-term efficacy and safety of first-line ibrutinib treatment for patients with CLL/SLL: 5 years of follow-up from the phase 3 RESONATE-2 study. Leukemia. </w:t>
            </w:r>
            <w:proofErr w:type="gramStart"/>
            <w:r>
              <w:rPr>
                <w:rFonts w:ascii="Calibri" w:hAnsi="Calibri"/>
                <w:color w:val="000000"/>
                <w:sz w:val="22"/>
                <w:szCs w:val="22"/>
              </w:rPr>
              <w:t>2020;34:787</w:t>
            </w:r>
            <w:proofErr w:type="gramEnd"/>
            <w:r>
              <w:rPr>
                <w:rFonts w:ascii="Calibri" w:hAnsi="Calibri"/>
                <w:color w:val="000000"/>
                <w:sz w:val="22"/>
                <w:szCs w:val="22"/>
              </w:rPr>
              <w:t>-798.</w:t>
            </w:r>
          </w:p>
        </w:tc>
        <w:tc>
          <w:tcPr>
            <w:tcW w:w="4675" w:type="dxa"/>
          </w:tcPr>
          <w:p w14:paraId="3F8C6639" w14:textId="275C7D8B"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rStyle w:val="Hyperlink"/>
                <w:b/>
                <w:sz w:val="22"/>
                <w:szCs w:val="22"/>
              </w:rPr>
            </w:pPr>
            <w:hyperlink r:id="rId9" w:history="1">
              <w:r w:rsidR="00F06442">
                <w:rPr>
                  <w:rStyle w:val="Hyperlink"/>
                  <w:rFonts w:ascii="Calibri" w:hAnsi="Calibri"/>
                  <w:sz w:val="22"/>
                  <w:szCs w:val="22"/>
                </w:rPr>
                <w:t>https://pubmed.ncbi.nlm.nih.gov/31628428/</w:t>
              </w:r>
            </w:hyperlink>
          </w:p>
        </w:tc>
      </w:tr>
      <w:tr w:rsidR="00F06442" w:rsidRPr="004C1F42" w14:paraId="219BAB2D"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6D7C535E" w14:textId="22490188" w:rsidR="00F06442" w:rsidRPr="004C7370" w:rsidRDefault="00F06442" w:rsidP="00C438B9">
            <w:pPr>
              <w:rPr>
                <w:sz w:val="22"/>
                <w:szCs w:val="22"/>
              </w:rPr>
            </w:pPr>
            <w:r>
              <w:rPr>
                <w:rFonts w:ascii="Calibri" w:hAnsi="Calibri" w:cstheme="minorHAnsi"/>
                <w:color w:val="000000"/>
                <w:sz w:val="22"/>
                <w:szCs w:val="22"/>
              </w:rPr>
              <w:t xml:space="preserve">Byrd JC, Furman RR, </w:t>
            </w:r>
            <w:proofErr w:type="spellStart"/>
            <w:r>
              <w:rPr>
                <w:rFonts w:ascii="Calibri" w:hAnsi="Calibri" w:cstheme="minorHAnsi"/>
                <w:color w:val="000000"/>
                <w:sz w:val="22"/>
                <w:szCs w:val="22"/>
              </w:rPr>
              <w:t>Coutre</w:t>
            </w:r>
            <w:proofErr w:type="spellEnd"/>
            <w:r>
              <w:rPr>
                <w:rFonts w:ascii="Calibri" w:hAnsi="Calibri" w:cstheme="minorHAnsi"/>
                <w:color w:val="000000"/>
                <w:sz w:val="22"/>
                <w:szCs w:val="22"/>
              </w:rPr>
              <w:t xml:space="preserve"> S, et al. Up to 7 years of follow-up of single-agent ibrutinib in the phase 1b/2 PCYC-1102 trial of first line and relapsed/refractory patients with chronic lymphocytic leukemia/small lymphocytic lymphoma. Blood. 2018;132(suppl 1):3133.</w:t>
            </w:r>
          </w:p>
        </w:tc>
        <w:tc>
          <w:tcPr>
            <w:tcW w:w="4675" w:type="dxa"/>
          </w:tcPr>
          <w:p w14:paraId="55971F61" w14:textId="65CC958C"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rFonts w:cs="Arial"/>
                <w:b/>
                <w:sz w:val="22"/>
                <w:szCs w:val="22"/>
              </w:rPr>
            </w:pPr>
            <w:hyperlink r:id="rId10" w:history="1">
              <w:r w:rsidR="00F06442">
                <w:rPr>
                  <w:rStyle w:val="Hyperlink"/>
                  <w:rFonts w:ascii="Calibri" w:hAnsi="Calibri"/>
                  <w:bCs/>
                  <w:sz w:val="22"/>
                  <w:szCs w:val="22"/>
                </w:rPr>
                <w:t>https://ashpublications.org/blood/article/132/Supplement%201/3133/263863/Up-to-7-Years-of-Follow-up-of-Single-Agent</w:t>
              </w:r>
            </w:hyperlink>
          </w:p>
        </w:tc>
      </w:tr>
      <w:tr w:rsidR="00F06442" w:rsidRPr="004C1F42" w14:paraId="5829DAE7"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F7505FE" w14:textId="7491FF36" w:rsidR="00F06442" w:rsidRPr="004C7370" w:rsidRDefault="00F06442" w:rsidP="00F8575C">
            <w:pPr>
              <w:rPr>
                <w:rFonts w:eastAsia="Times New Roman" w:cstheme="minorHAnsi"/>
                <w:color w:val="111111"/>
                <w:sz w:val="22"/>
                <w:szCs w:val="22"/>
              </w:rPr>
            </w:pPr>
            <w:r>
              <w:rPr>
                <w:rFonts w:ascii="Calibri" w:hAnsi="Calibri"/>
                <w:color w:val="000000"/>
                <w:sz w:val="22"/>
                <w:szCs w:val="22"/>
              </w:rPr>
              <w:t xml:space="preserve">Byrd JC, Furman RR, </w:t>
            </w:r>
            <w:proofErr w:type="spellStart"/>
            <w:r>
              <w:rPr>
                <w:rFonts w:ascii="Calibri" w:hAnsi="Calibri"/>
                <w:color w:val="000000"/>
                <w:sz w:val="22"/>
                <w:szCs w:val="22"/>
              </w:rPr>
              <w:t>Coutre</w:t>
            </w:r>
            <w:proofErr w:type="spellEnd"/>
            <w:r>
              <w:rPr>
                <w:rFonts w:ascii="Calibri" w:hAnsi="Calibri"/>
                <w:color w:val="000000"/>
                <w:sz w:val="22"/>
                <w:szCs w:val="22"/>
              </w:rPr>
              <w:t xml:space="preserve"> SE, et al. Ibrutinib treatment for first-line and relapsed/refractory chronic lymphocytic leukemia: Final analysis of the pivotal phase Ib/II PCYC-1102 study. Clin Cancer Res. </w:t>
            </w:r>
            <w:proofErr w:type="gramStart"/>
            <w:r>
              <w:rPr>
                <w:rFonts w:ascii="Calibri" w:hAnsi="Calibri"/>
                <w:color w:val="000000"/>
                <w:sz w:val="22"/>
                <w:szCs w:val="22"/>
              </w:rPr>
              <w:t>2020;26:3918</w:t>
            </w:r>
            <w:proofErr w:type="gramEnd"/>
            <w:r>
              <w:rPr>
                <w:rFonts w:ascii="Calibri" w:hAnsi="Calibri"/>
                <w:color w:val="000000"/>
                <w:sz w:val="22"/>
                <w:szCs w:val="22"/>
              </w:rPr>
              <w:t>-3927.</w:t>
            </w:r>
          </w:p>
        </w:tc>
        <w:tc>
          <w:tcPr>
            <w:tcW w:w="4675" w:type="dxa"/>
          </w:tcPr>
          <w:p w14:paraId="6773950C" w14:textId="1FF8B547"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rStyle w:val="Hyperlink"/>
                <w:b/>
                <w:sz w:val="22"/>
                <w:szCs w:val="22"/>
              </w:rPr>
            </w:pPr>
            <w:hyperlink r:id="rId11" w:history="1">
              <w:r w:rsidR="00F06442">
                <w:rPr>
                  <w:rStyle w:val="Hyperlink"/>
                  <w:rFonts w:ascii="Calibri" w:hAnsi="Calibri" w:cs="Arial"/>
                  <w:bCs/>
                  <w:sz w:val="22"/>
                  <w:szCs w:val="22"/>
                </w:rPr>
                <w:t>https://pubmed.ncbi.nlm.nih.gov/32209572/</w:t>
              </w:r>
            </w:hyperlink>
          </w:p>
        </w:tc>
      </w:tr>
      <w:tr w:rsidR="00F06442" w:rsidRPr="004C1F42" w14:paraId="1746F48B"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4D9154D9" w14:textId="234F259C" w:rsidR="00F06442" w:rsidRPr="004C7370" w:rsidRDefault="00F06442" w:rsidP="00531FF7">
            <w:pPr>
              <w:rPr>
                <w:sz w:val="22"/>
                <w:szCs w:val="22"/>
              </w:rPr>
            </w:pPr>
            <w:r>
              <w:rPr>
                <w:rFonts w:ascii="Calibri" w:hAnsi="Calibri"/>
                <w:color w:val="000000"/>
                <w:sz w:val="22"/>
                <w:szCs w:val="22"/>
              </w:rPr>
              <w:t xml:space="preserve">Byrd JC, Harrington B, O'Brien S, et al. Acalabrutinib (ACP-196) in relapsed chronic lymphocytic leukemia. N </w:t>
            </w:r>
            <w:proofErr w:type="spellStart"/>
            <w:r>
              <w:rPr>
                <w:rFonts w:ascii="Calibri" w:hAnsi="Calibri"/>
                <w:color w:val="000000"/>
                <w:sz w:val="22"/>
                <w:szCs w:val="22"/>
              </w:rPr>
              <w:t>Engl</w:t>
            </w:r>
            <w:proofErr w:type="spellEnd"/>
            <w:r>
              <w:rPr>
                <w:rFonts w:ascii="Calibri" w:hAnsi="Calibri"/>
                <w:color w:val="000000"/>
                <w:sz w:val="22"/>
                <w:szCs w:val="22"/>
              </w:rPr>
              <w:t xml:space="preserve"> J Med. </w:t>
            </w:r>
            <w:proofErr w:type="gramStart"/>
            <w:r>
              <w:rPr>
                <w:rFonts w:ascii="Calibri" w:hAnsi="Calibri"/>
                <w:color w:val="000000"/>
                <w:sz w:val="22"/>
                <w:szCs w:val="22"/>
              </w:rPr>
              <w:t>2016;374:323</w:t>
            </w:r>
            <w:proofErr w:type="gramEnd"/>
            <w:r>
              <w:rPr>
                <w:rFonts w:ascii="Calibri" w:hAnsi="Calibri"/>
                <w:color w:val="000000"/>
                <w:sz w:val="22"/>
                <w:szCs w:val="22"/>
              </w:rPr>
              <w:t>-332.</w:t>
            </w:r>
          </w:p>
        </w:tc>
        <w:tc>
          <w:tcPr>
            <w:tcW w:w="4675" w:type="dxa"/>
          </w:tcPr>
          <w:p w14:paraId="5B70F3D4" w14:textId="2E6289B8"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rFonts w:cs="Arial"/>
                <w:b/>
                <w:sz w:val="22"/>
                <w:szCs w:val="22"/>
              </w:rPr>
            </w:pPr>
            <w:hyperlink r:id="rId12" w:history="1">
              <w:r w:rsidR="00F06442">
                <w:rPr>
                  <w:rStyle w:val="Hyperlink"/>
                  <w:rFonts w:ascii="Calibri" w:hAnsi="Calibri"/>
                  <w:bCs/>
                  <w:sz w:val="22"/>
                  <w:szCs w:val="22"/>
                </w:rPr>
                <w:t>https://www.ncbi.nlm.nih.gov/pubmed/26641137</w:t>
              </w:r>
            </w:hyperlink>
          </w:p>
        </w:tc>
      </w:tr>
      <w:tr w:rsidR="00F06442" w:rsidRPr="004C1F42" w14:paraId="372E68DA"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BB5F7D0" w14:textId="154A2C97" w:rsidR="00F06442" w:rsidRPr="004C7370" w:rsidRDefault="00F06442" w:rsidP="00C3603F">
            <w:pPr>
              <w:rPr>
                <w:sz w:val="22"/>
                <w:szCs w:val="22"/>
              </w:rPr>
            </w:pPr>
            <w:r>
              <w:rPr>
                <w:rFonts w:ascii="Calibri" w:hAnsi="Calibri"/>
                <w:color w:val="000000"/>
                <w:sz w:val="22"/>
                <w:szCs w:val="22"/>
              </w:rPr>
              <w:t>Byrd JC, Hillmen PC, Ghia P, et al. First results of a head-to-head trial of acalabrutinib versus ibrutinib in previously treated chronic lymphocytic leukemia. J Clin Oncol. 2021;39(15 suppl):7500.</w:t>
            </w:r>
          </w:p>
        </w:tc>
        <w:tc>
          <w:tcPr>
            <w:tcW w:w="4675" w:type="dxa"/>
          </w:tcPr>
          <w:p w14:paraId="3EF0CE7D" w14:textId="599D610A"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rFonts w:cs="Arial"/>
                <w:b/>
                <w:sz w:val="22"/>
                <w:szCs w:val="22"/>
              </w:rPr>
            </w:pPr>
            <w:hyperlink r:id="rId13" w:history="1">
              <w:r w:rsidR="00F06442">
                <w:rPr>
                  <w:rStyle w:val="Hyperlink"/>
                  <w:rFonts w:ascii="Calibri" w:hAnsi="Calibri" w:cs="Arial"/>
                  <w:bCs/>
                  <w:sz w:val="22"/>
                  <w:szCs w:val="22"/>
                </w:rPr>
                <w:t>https://ascopubs.org/doi/abs/10.1200/JCO.2021.39.15_suppl.7500</w:t>
              </w:r>
            </w:hyperlink>
          </w:p>
        </w:tc>
      </w:tr>
      <w:tr w:rsidR="00F06442" w:rsidRPr="004C1F42" w14:paraId="6EA9BEAC"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31A9C0CA" w14:textId="05A0A1B7" w:rsidR="00F06442" w:rsidRPr="004C7370" w:rsidRDefault="00F06442" w:rsidP="004C7370">
            <w:pPr>
              <w:rPr>
                <w:sz w:val="22"/>
                <w:szCs w:val="22"/>
              </w:rPr>
            </w:pPr>
            <w:r>
              <w:rPr>
                <w:rFonts w:ascii="Calibri" w:hAnsi="Calibri"/>
                <w:color w:val="000000"/>
                <w:sz w:val="22"/>
                <w:szCs w:val="22"/>
              </w:rPr>
              <w:t xml:space="preserve">Byrd JC, </w:t>
            </w:r>
            <w:proofErr w:type="spellStart"/>
            <w:r>
              <w:rPr>
                <w:rFonts w:ascii="Calibri" w:hAnsi="Calibri"/>
                <w:color w:val="000000"/>
                <w:sz w:val="22"/>
                <w:szCs w:val="22"/>
              </w:rPr>
              <w:t>Woyach</w:t>
            </w:r>
            <w:proofErr w:type="spellEnd"/>
            <w:r>
              <w:rPr>
                <w:rFonts w:ascii="Calibri" w:hAnsi="Calibri"/>
                <w:color w:val="000000"/>
                <w:sz w:val="22"/>
                <w:szCs w:val="22"/>
              </w:rPr>
              <w:t xml:space="preserve"> JA, Furman RR, et al. Acalabrutinib in treatment-naive chronic lymphocytic leukemia. Blood. 2021;137(24):3327-3338.</w:t>
            </w:r>
          </w:p>
        </w:tc>
        <w:tc>
          <w:tcPr>
            <w:tcW w:w="4675" w:type="dxa"/>
          </w:tcPr>
          <w:p w14:paraId="5855CD17" w14:textId="7E689E3A"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14" w:history="1">
              <w:r w:rsidR="00F06442">
                <w:rPr>
                  <w:rStyle w:val="Hyperlink"/>
                  <w:rFonts w:ascii="Calibri" w:hAnsi="Calibri" w:cs="Arial"/>
                  <w:bCs/>
                  <w:sz w:val="22"/>
                  <w:szCs w:val="22"/>
                </w:rPr>
                <w:t>https://pubmed.ncbi.nlm.nih.gov/33786588/</w:t>
              </w:r>
            </w:hyperlink>
          </w:p>
        </w:tc>
      </w:tr>
      <w:tr w:rsidR="00F06442" w:rsidRPr="004C1F42" w14:paraId="1C277C8E"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0E45B225" w14:textId="0E8B127B" w:rsidR="00F06442" w:rsidRPr="004C7370" w:rsidRDefault="00F06442" w:rsidP="00C3603F">
            <w:pPr>
              <w:rPr>
                <w:sz w:val="22"/>
                <w:szCs w:val="22"/>
              </w:rPr>
            </w:pPr>
            <w:r>
              <w:rPr>
                <w:rFonts w:ascii="Calibri" w:hAnsi="Calibri"/>
                <w:color w:val="000000"/>
                <w:sz w:val="22"/>
                <w:szCs w:val="22"/>
              </w:rPr>
              <w:t>Copiktra® (duvelisib) Prescribing information. Verastem, Inc; July 2019.</w:t>
            </w:r>
          </w:p>
        </w:tc>
        <w:tc>
          <w:tcPr>
            <w:tcW w:w="4675" w:type="dxa"/>
          </w:tcPr>
          <w:p w14:paraId="22CFE240" w14:textId="0850B275"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15" w:history="1">
              <w:r w:rsidR="00F06442">
                <w:rPr>
                  <w:rStyle w:val="Hyperlink"/>
                  <w:rFonts w:ascii="Calibri" w:hAnsi="Calibri"/>
                  <w:sz w:val="22"/>
                  <w:szCs w:val="22"/>
                </w:rPr>
                <w:t>https://copiktra.com/pdf/verastem/COPIKTRA-PI-072019.pdf</w:t>
              </w:r>
            </w:hyperlink>
          </w:p>
        </w:tc>
      </w:tr>
      <w:tr w:rsidR="00F06442" w:rsidRPr="004C1F42" w14:paraId="7FBD23B6"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31E21C1E" w14:textId="1ADAE7B5" w:rsidR="00F06442" w:rsidRPr="004C7370" w:rsidRDefault="00F06442" w:rsidP="00C06E6D">
            <w:pPr>
              <w:rPr>
                <w:bCs w:val="0"/>
                <w:sz w:val="22"/>
                <w:szCs w:val="22"/>
              </w:rPr>
            </w:pPr>
            <w:proofErr w:type="spellStart"/>
            <w:r>
              <w:rPr>
                <w:rFonts w:ascii="Calibri" w:hAnsi="Calibri" w:cstheme="minorHAnsi"/>
                <w:color w:val="000000"/>
                <w:sz w:val="22"/>
                <w:szCs w:val="22"/>
              </w:rPr>
              <w:t>Döhner</w:t>
            </w:r>
            <w:proofErr w:type="spellEnd"/>
            <w:r>
              <w:rPr>
                <w:rFonts w:ascii="Calibri" w:hAnsi="Calibri" w:cstheme="minorHAnsi"/>
                <w:color w:val="000000"/>
                <w:sz w:val="22"/>
                <w:szCs w:val="22"/>
              </w:rPr>
              <w:t xml:space="preserve"> H, </w:t>
            </w:r>
            <w:proofErr w:type="spellStart"/>
            <w:r>
              <w:rPr>
                <w:rFonts w:ascii="Calibri" w:hAnsi="Calibri" w:cstheme="minorHAnsi"/>
                <w:color w:val="000000"/>
                <w:sz w:val="22"/>
                <w:szCs w:val="22"/>
              </w:rPr>
              <w:t>Stilgenbauer</w:t>
            </w:r>
            <w:proofErr w:type="spellEnd"/>
            <w:r>
              <w:rPr>
                <w:rFonts w:ascii="Calibri" w:hAnsi="Calibri" w:cstheme="minorHAnsi"/>
                <w:color w:val="000000"/>
                <w:sz w:val="22"/>
                <w:szCs w:val="22"/>
              </w:rPr>
              <w:t xml:space="preserve"> S, Benner A, et al. Genomic aberrations and survival in chronic lymphocytic leukemia. N </w:t>
            </w:r>
            <w:proofErr w:type="spellStart"/>
            <w:r>
              <w:rPr>
                <w:rFonts w:ascii="Calibri" w:hAnsi="Calibri" w:cstheme="minorHAnsi"/>
                <w:color w:val="000000"/>
                <w:sz w:val="22"/>
                <w:szCs w:val="22"/>
              </w:rPr>
              <w:t>Engl</w:t>
            </w:r>
            <w:proofErr w:type="spellEnd"/>
            <w:r>
              <w:rPr>
                <w:rFonts w:ascii="Calibri" w:hAnsi="Calibri" w:cstheme="minorHAnsi"/>
                <w:color w:val="000000"/>
                <w:sz w:val="22"/>
                <w:szCs w:val="22"/>
              </w:rPr>
              <w:t xml:space="preserve"> J Med. </w:t>
            </w:r>
            <w:proofErr w:type="gramStart"/>
            <w:r>
              <w:rPr>
                <w:rFonts w:ascii="Calibri" w:hAnsi="Calibri" w:cstheme="minorHAnsi"/>
                <w:color w:val="000000"/>
                <w:sz w:val="22"/>
                <w:szCs w:val="22"/>
              </w:rPr>
              <w:t>2000;343:1910</w:t>
            </w:r>
            <w:proofErr w:type="gramEnd"/>
            <w:r>
              <w:rPr>
                <w:rFonts w:ascii="Calibri" w:hAnsi="Calibri" w:cstheme="minorHAnsi"/>
                <w:color w:val="000000"/>
                <w:sz w:val="22"/>
                <w:szCs w:val="22"/>
              </w:rPr>
              <w:t>-1916.</w:t>
            </w:r>
          </w:p>
        </w:tc>
        <w:tc>
          <w:tcPr>
            <w:tcW w:w="4675" w:type="dxa"/>
          </w:tcPr>
          <w:p w14:paraId="4A5D7E25" w14:textId="5AF7BCE1"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16" w:history="1">
              <w:r w:rsidR="00F06442">
                <w:rPr>
                  <w:rStyle w:val="Hyperlink"/>
                  <w:rFonts w:ascii="Calibri" w:hAnsi="Calibri"/>
                  <w:bCs/>
                  <w:sz w:val="22"/>
                  <w:szCs w:val="22"/>
                </w:rPr>
                <w:t>https://www.ncbi.nlm.nih.gov/pubmed/11136261</w:t>
              </w:r>
            </w:hyperlink>
          </w:p>
        </w:tc>
      </w:tr>
      <w:tr w:rsidR="00F06442" w:rsidRPr="004C1F42" w14:paraId="5DEE8F65"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60FE7E5" w14:textId="6D15F16E" w:rsidR="00F06442" w:rsidRPr="004C7370" w:rsidRDefault="00F06442" w:rsidP="00C06E6D">
            <w:pPr>
              <w:rPr>
                <w:sz w:val="22"/>
                <w:szCs w:val="22"/>
              </w:rPr>
            </w:pPr>
            <w:r>
              <w:rPr>
                <w:rFonts w:ascii="Calibri" w:hAnsi="Calibri"/>
                <w:color w:val="000000"/>
                <w:sz w:val="22"/>
                <w:szCs w:val="22"/>
              </w:rPr>
              <w:t xml:space="preserve">Eichhorst B, Fink AM, </w:t>
            </w:r>
            <w:proofErr w:type="spellStart"/>
            <w:r>
              <w:rPr>
                <w:rFonts w:ascii="Calibri" w:hAnsi="Calibri"/>
                <w:color w:val="000000"/>
                <w:sz w:val="22"/>
                <w:szCs w:val="22"/>
              </w:rPr>
              <w:t>Bahlo</w:t>
            </w:r>
            <w:proofErr w:type="spellEnd"/>
            <w:r>
              <w:rPr>
                <w:rFonts w:ascii="Calibri" w:hAnsi="Calibri"/>
                <w:color w:val="000000"/>
                <w:sz w:val="22"/>
                <w:szCs w:val="22"/>
              </w:rPr>
              <w:t xml:space="preserve"> J, et al. First-line chemoimmunotherapy with bendamustine and rituximab versus fludarabine, cyclophosphamide, and rituximab in patients with advanced chronic lymphocytic </w:t>
            </w:r>
            <w:proofErr w:type="spellStart"/>
            <w:r>
              <w:rPr>
                <w:rFonts w:ascii="Calibri" w:hAnsi="Calibri"/>
                <w:color w:val="000000"/>
                <w:sz w:val="22"/>
                <w:szCs w:val="22"/>
              </w:rPr>
              <w:t>leukaemia</w:t>
            </w:r>
            <w:proofErr w:type="spellEnd"/>
            <w:r>
              <w:rPr>
                <w:rFonts w:ascii="Calibri" w:hAnsi="Calibri"/>
                <w:color w:val="000000"/>
                <w:sz w:val="22"/>
                <w:szCs w:val="22"/>
              </w:rPr>
              <w:t xml:space="preserve"> (CLL10): An international, open-label, randomised, phase 3, non-inferiority trial. Lancet Oncol. </w:t>
            </w:r>
            <w:proofErr w:type="gramStart"/>
            <w:r>
              <w:rPr>
                <w:rFonts w:ascii="Calibri" w:hAnsi="Calibri"/>
                <w:color w:val="000000"/>
                <w:sz w:val="22"/>
                <w:szCs w:val="22"/>
              </w:rPr>
              <w:t>2016;17:928</w:t>
            </w:r>
            <w:proofErr w:type="gramEnd"/>
            <w:r>
              <w:rPr>
                <w:rFonts w:ascii="Calibri" w:hAnsi="Calibri"/>
                <w:color w:val="000000"/>
                <w:sz w:val="22"/>
                <w:szCs w:val="22"/>
              </w:rPr>
              <w:t>-942.</w:t>
            </w:r>
          </w:p>
        </w:tc>
        <w:tc>
          <w:tcPr>
            <w:tcW w:w="4675" w:type="dxa"/>
          </w:tcPr>
          <w:p w14:paraId="7B3FE985" w14:textId="7DDC062A"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17" w:history="1">
              <w:r w:rsidR="00F06442">
                <w:rPr>
                  <w:rStyle w:val="Hyperlink"/>
                  <w:rFonts w:ascii="Calibri" w:hAnsi="Calibri"/>
                  <w:sz w:val="22"/>
                  <w:szCs w:val="22"/>
                </w:rPr>
                <w:t>https://pubmed.ncbi.nlm.nih.gov/27216274/</w:t>
              </w:r>
            </w:hyperlink>
          </w:p>
        </w:tc>
      </w:tr>
      <w:tr w:rsidR="00F06442" w:rsidRPr="004C1F42" w14:paraId="2C4FCA0C"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24000E1A" w14:textId="7CE5672D" w:rsidR="00F06442" w:rsidRPr="004C7370" w:rsidRDefault="00F06442" w:rsidP="004C7370">
            <w:pPr>
              <w:rPr>
                <w:rFonts w:eastAsia="Times New Roman" w:cstheme="minorHAnsi"/>
                <w:color w:val="111111"/>
                <w:sz w:val="22"/>
                <w:szCs w:val="22"/>
              </w:rPr>
            </w:pPr>
            <w:r>
              <w:rPr>
                <w:rFonts w:ascii="Calibri" w:hAnsi="Calibri"/>
                <w:color w:val="000000"/>
                <w:sz w:val="22"/>
                <w:szCs w:val="22"/>
              </w:rPr>
              <w:t>Eichhorst B, Fink AM, Busch R, et al. Frontline chemoimmunotherapy with fludarabine (F), cyclophosphamide (C), and rituximab (R) (FCR) shows superior efficacy in comparison to bendamustine (B) and rituximab (BR) in previously untreated and physically fit patients (pts) with advanced chronic lymphocytic leukemia (CLL): Final analysis of an international, randomized study of the German CLL Study Group (GCLLSG) (CLL10 study). Blood. 2014;124(21):19.</w:t>
            </w:r>
          </w:p>
        </w:tc>
        <w:tc>
          <w:tcPr>
            <w:tcW w:w="4675" w:type="dxa"/>
          </w:tcPr>
          <w:p w14:paraId="3129D150" w14:textId="07B4152C"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rStyle w:val="Hyperlink"/>
                <w:b/>
                <w:sz w:val="22"/>
                <w:szCs w:val="22"/>
              </w:rPr>
            </w:pPr>
            <w:hyperlink r:id="rId18" w:history="1">
              <w:r w:rsidR="00F06442">
                <w:rPr>
                  <w:rStyle w:val="Hyperlink"/>
                  <w:rFonts w:ascii="Calibri" w:hAnsi="Calibri"/>
                  <w:sz w:val="22"/>
                  <w:szCs w:val="22"/>
                </w:rPr>
                <w:t>https://ashpublications.org/blood/article/124/21/19/89819/Frontline-Chemoimmunotherapy-with-Fludarabine-F</w:t>
              </w:r>
            </w:hyperlink>
          </w:p>
        </w:tc>
      </w:tr>
      <w:tr w:rsidR="00F06442" w:rsidRPr="004C1F42" w14:paraId="5E9F37BD"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0C06FBFD" w14:textId="229CFB26" w:rsidR="00F06442" w:rsidRPr="004C7370" w:rsidDel="00A54E4B" w:rsidRDefault="00F06442" w:rsidP="004C7370">
            <w:pPr>
              <w:pStyle w:val="NormalWeb"/>
              <w:spacing w:before="0" w:beforeAutospacing="0" w:after="0" w:afterAutospacing="0"/>
              <w:rPr>
                <w:rFonts w:asciiTheme="minorHAnsi" w:hAnsiTheme="minorHAnsi" w:cstheme="minorHAnsi"/>
                <w:color w:val="111111"/>
                <w:sz w:val="22"/>
                <w:szCs w:val="22"/>
              </w:rPr>
            </w:pPr>
            <w:r>
              <w:rPr>
                <w:rFonts w:ascii="Calibri" w:hAnsi="Calibri"/>
                <w:color w:val="000000"/>
                <w:sz w:val="22"/>
                <w:szCs w:val="22"/>
              </w:rPr>
              <w:t xml:space="preserve">Fischer K, et al. Venetoclax and obinutuzumab in patients with CLL and coexisting conditions. N </w:t>
            </w:r>
            <w:proofErr w:type="spellStart"/>
            <w:r>
              <w:rPr>
                <w:rFonts w:ascii="Calibri" w:hAnsi="Calibri"/>
                <w:color w:val="000000"/>
                <w:sz w:val="22"/>
                <w:szCs w:val="22"/>
              </w:rPr>
              <w:t>Engl</w:t>
            </w:r>
            <w:proofErr w:type="spellEnd"/>
            <w:r>
              <w:rPr>
                <w:rFonts w:ascii="Calibri" w:hAnsi="Calibri"/>
                <w:color w:val="000000"/>
                <w:sz w:val="22"/>
                <w:szCs w:val="22"/>
              </w:rPr>
              <w:t xml:space="preserve"> J Med. </w:t>
            </w:r>
            <w:proofErr w:type="gramStart"/>
            <w:r>
              <w:rPr>
                <w:rFonts w:ascii="Calibri" w:hAnsi="Calibri"/>
                <w:color w:val="000000"/>
                <w:sz w:val="22"/>
                <w:szCs w:val="22"/>
              </w:rPr>
              <w:t>2019;380:2225</w:t>
            </w:r>
            <w:proofErr w:type="gramEnd"/>
            <w:r>
              <w:rPr>
                <w:rFonts w:ascii="Calibri" w:hAnsi="Calibri"/>
                <w:color w:val="000000"/>
                <w:sz w:val="22"/>
                <w:szCs w:val="22"/>
              </w:rPr>
              <w:t>-2236.</w:t>
            </w:r>
          </w:p>
        </w:tc>
        <w:tc>
          <w:tcPr>
            <w:tcW w:w="4675" w:type="dxa"/>
          </w:tcPr>
          <w:p w14:paraId="02FDD349" w14:textId="7B5BA330" w:rsidR="00F06442" w:rsidRPr="004C7370" w:rsidDel="00B93682" w:rsidRDefault="00407222" w:rsidP="004C7370">
            <w:pPr>
              <w:cnfStyle w:val="000000100000" w:firstRow="0" w:lastRow="0" w:firstColumn="0" w:lastColumn="0" w:oddVBand="0" w:evenVBand="0" w:oddHBand="1" w:evenHBand="0" w:firstRowFirstColumn="0" w:firstRowLastColumn="0" w:lastRowFirstColumn="0" w:lastRowLastColumn="0"/>
              <w:rPr>
                <w:rStyle w:val="Hyperlink"/>
                <w:b/>
                <w:sz w:val="22"/>
                <w:szCs w:val="22"/>
              </w:rPr>
            </w:pPr>
            <w:hyperlink r:id="rId19" w:history="1">
              <w:r w:rsidR="00F06442">
                <w:rPr>
                  <w:rStyle w:val="Hyperlink"/>
                  <w:rFonts w:ascii="Calibri" w:hAnsi="Calibri"/>
                  <w:bCs/>
                  <w:sz w:val="22"/>
                  <w:szCs w:val="22"/>
                </w:rPr>
                <w:t>https://www.nejm.org/doi/full/10.1056/NEJMoa1815281</w:t>
              </w:r>
            </w:hyperlink>
          </w:p>
        </w:tc>
      </w:tr>
      <w:tr w:rsidR="00F06442" w:rsidRPr="004C1F42" w14:paraId="19E3DEC5"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1D2A2B8D" w14:textId="05906619" w:rsidR="00F06442" w:rsidRPr="004C7370" w:rsidRDefault="00F06442" w:rsidP="00C06E6D">
            <w:pPr>
              <w:rPr>
                <w:sz w:val="22"/>
                <w:szCs w:val="22"/>
              </w:rPr>
            </w:pPr>
            <w:r>
              <w:rPr>
                <w:rFonts w:ascii="Calibri" w:hAnsi="Calibri"/>
                <w:color w:val="000000"/>
                <w:sz w:val="22"/>
                <w:szCs w:val="22"/>
              </w:rPr>
              <w:t xml:space="preserve">Flinn IW, Hillmen P, </w:t>
            </w:r>
            <w:proofErr w:type="spellStart"/>
            <w:r>
              <w:rPr>
                <w:rFonts w:ascii="Calibri" w:hAnsi="Calibri"/>
                <w:color w:val="000000"/>
                <w:sz w:val="22"/>
                <w:szCs w:val="22"/>
              </w:rPr>
              <w:t>Montillo</w:t>
            </w:r>
            <w:proofErr w:type="spellEnd"/>
            <w:r>
              <w:rPr>
                <w:rFonts w:ascii="Calibri" w:hAnsi="Calibri"/>
                <w:color w:val="000000"/>
                <w:sz w:val="22"/>
                <w:szCs w:val="22"/>
              </w:rPr>
              <w:t xml:space="preserve"> M, et al. The phase 3 DUO trial: Duvelisib vs ofatumumab in relapsed and refractory CLL/SLL. Blood. </w:t>
            </w:r>
            <w:proofErr w:type="gramStart"/>
            <w:r>
              <w:rPr>
                <w:rFonts w:ascii="Calibri" w:hAnsi="Calibri"/>
                <w:color w:val="000000"/>
                <w:sz w:val="22"/>
                <w:szCs w:val="22"/>
              </w:rPr>
              <w:t>2018;132:2446</w:t>
            </w:r>
            <w:proofErr w:type="gramEnd"/>
            <w:r>
              <w:rPr>
                <w:rFonts w:ascii="Calibri" w:hAnsi="Calibri"/>
                <w:color w:val="000000"/>
                <w:sz w:val="22"/>
                <w:szCs w:val="22"/>
              </w:rPr>
              <w:t>-2455.</w:t>
            </w:r>
          </w:p>
        </w:tc>
        <w:tc>
          <w:tcPr>
            <w:tcW w:w="4675" w:type="dxa"/>
          </w:tcPr>
          <w:p w14:paraId="75D57B30" w14:textId="0FA971BA"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20" w:history="1">
              <w:r w:rsidR="00F06442">
                <w:rPr>
                  <w:rStyle w:val="Hyperlink"/>
                  <w:rFonts w:ascii="Calibri" w:hAnsi="Calibri"/>
                  <w:bCs/>
                  <w:sz w:val="22"/>
                  <w:szCs w:val="22"/>
                </w:rPr>
                <w:t>https://www.ncbi.nlm.nih.gov/pmc/articles/PMC6284216/</w:t>
              </w:r>
            </w:hyperlink>
          </w:p>
        </w:tc>
      </w:tr>
      <w:tr w:rsidR="00F06442" w:rsidRPr="004C1F42" w14:paraId="4065BD84"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5E5E8A2" w14:textId="727C993A" w:rsidR="00F06442" w:rsidRPr="004C7370" w:rsidRDefault="00F06442" w:rsidP="0026384B">
            <w:pPr>
              <w:rPr>
                <w:sz w:val="22"/>
                <w:szCs w:val="22"/>
              </w:rPr>
            </w:pPr>
            <w:r>
              <w:rPr>
                <w:rFonts w:ascii="Calibri" w:hAnsi="Calibri"/>
                <w:color w:val="000000"/>
                <w:sz w:val="22"/>
                <w:szCs w:val="22"/>
              </w:rPr>
              <w:t xml:space="preserve">Ghia P, </w:t>
            </w:r>
            <w:proofErr w:type="spellStart"/>
            <w:r>
              <w:rPr>
                <w:rFonts w:ascii="Calibri" w:hAnsi="Calibri"/>
                <w:color w:val="000000"/>
                <w:sz w:val="22"/>
                <w:szCs w:val="22"/>
              </w:rPr>
              <w:t>Pluta</w:t>
            </w:r>
            <w:proofErr w:type="spellEnd"/>
            <w:r>
              <w:rPr>
                <w:rFonts w:ascii="Calibri" w:hAnsi="Calibri"/>
                <w:color w:val="000000"/>
                <w:sz w:val="22"/>
                <w:szCs w:val="22"/>
              </w:rPr>
              <w:t xml:space="preserve"> A, </w:t>
            </w:r>
            <w:proofErr w:type="spellStart"/>
            <w:r>
              <w:rPr>
                <w:rFonts w:ascii="Calibri" w:hAnsi="Calibri"/>
                <w:color w:val="000000"/>
                <w:sz w:val="22"/>
                <w:szCs w:val="22"/>
              </w:rPr>
              <w:t>Wach</w:t>
            </w:r>
            <w:proofErr w:type="spellEnd"/>
            <w:r>
              <w:rPr>
                <w:rFonts w:ascii="Calibri" w:hAnsi="Calibri"/>
                <w:color w:val="000000"/>
                <w:sz w:val="22"/>
                <w:szCs w:val="22"/>
              </w:rPr>
              <w:t xml:space="preserve"> M, et al. Acalabrutinib (</w:t>
            </w:r>
            <w:proofErr w:type="spellStart"/>
            <w:r>
              <w:rPr>
                <w:rFonts w:ascii="Calibri" w:hAnsi="Calibri"/>
                <w:color w:val="000000"/>
                <w:sz w:val="22"/>
                <w:szCs w:val="22"/>
              </w:rPr>
              <w:t>Acala</w:t>
            </w:r>
            <w:proofErr w:type="spellEnd"/>
            <w:r>
              <w:rPr>
                <w:rFonts w:ascii="Calibri" w:hAnsi="Calibri"/>
                <w:color w:val="000000"/>
                <w:sz w:val="22"/>
                <w:szCs w:val="22"/>
              </w:rPr>
              <w:t>) versus idelalisib plus rituximab (</w:t>
            </w:r>
            <w:proofErr w:type="spellStart"/>
            <w:r>
              <w:rPr>
                <w:rFonts w:ascii="Calibri" w:hAnsi="Calibri"/>
                <w:color w:val="000000"/>
                <w:sz w:val="22"/>
                <w:szCs w:val="22"/>
              </w:rPr>
              <w:t>IdR</w:t>
            </w:r>
            <w:proofErr w:type="spellEnd"/>
            <w:r>
              <w:rPr>
                <w:rFonts w:ascii="Calibri" w:hAnsi="Calibri"/>
                <w:color w:val="000000"/>
                <w:sz w:val="22"/>
                <w:szCs w:val="22"/>
              </w:rPr>
              <w:t xml:space="preserve">) or bendamustine plus rituximab (BR) in relapsed/refractory (R/R) chronic lymphocytic leukemia (CLL): ASCEND </w:t>
            </w:r>
            <w:proofErr w:type="gramStart"/>
            <w:r>
              <w:rPr>
                <w:rFonts w:ascii="Calibri" w:hAnsi="Calibri"/>
                <w:color w:val="000000"/>
                <w:sz w:val="22"/>
                <w:szCs w:val="22"/>
              </w:rPr>
              <w:t>final results</w:t>
            </w:r>
            <w:proofErr w:type="gramEnd"/>
            <w:r>
              <w:rPr>
                <w:rFonts w:ascii="Calibri" w:hAnsi="Calibri"/>
                <w:color w:val="000000"/>
                <w:sz w:val="22"/>
                <w:szCs w:val="22"/>
              </w:rPr>
              <w:t>. J Clin Oncol. 2020;38(15 suppl):8015.</w:t>
            </w:r>
          </w:p>
        </w:tc>
        <w:tc>
          <w:tcPr>
            <w:tcW w:w="4675" w:type="dxa"/>
          </w:tcPr>
          <w:p w14:paraId="701A6A1D" w14:textId="310F29CD"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21" w:history="1">
              <w:r w:rsidR="00F06442">
                <w:rPr>
                  <w:rStyle w:val="Hyperlink"/>
                  <w:rFonts w:ascii="Calibri" w:hAnsi="Calibri"/>
                  <w:sz w:val="22"/>
                  <w:szCs w:val="22"/>
                </w:rPr>
                <w:t>https://ascopubs.org/doi/abs/10.1200/JCO.2020.38.15_suppl.8015</w:t>
              </w:r>
            </w:hyperlink>
          </w:p>
        </w:tc>
      </w:tr>
      <w:tr w:rsidR="00F06442" w:rsidRPr="004C1F42" w14:paraId="56FA5D97"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01883C6E" w14:textId="2DC36E52" w:rsidR="00F06442" w:rsidRPr="004C7370" w:rsidRDefault="00F06442" w:rsidP="0026384B">
            <w:pPr>
              <w:pStyle w:val="NormalWeb"/>
              <w:spacing w:before="0" w:beforeAutospacing="0" w:after="0" w:afterAutospacing="0"/>
              <w:rPr>
                <w:rFonts w:asciiTheme="minorHAnsi" w:hAnsiTheme="minorHAnsi" w:cstheme="minorHAnsi"/>
                <w:color w:val="111111"/>
                <w:sz w:val="22"/>
                <w:szCs w:val="22"/>
              </w:rPr>
            </w:pPr>
            <w:r>
              <w:rPr>
                <w:rFonts w:ascii="Calibri" w:hAnsi="Calibri"/>
                <w:color w:val="000000"/>
                <w:sz w:val="22"/>
                <w:szCs w:val="22"/>
              </w:rPr>
              <w:t xml:space="preserve">Ghia P, </w:t>
            </w:r>
            <w:proofErr w:type="spellStart"/>
            <w:r>
              <w:rPr>
                <w:rFonts w:ascii="Calibri" w:hAnsi="Calibri"/>
                <w:color w:val="000000"/>
                <w:sz w:val="22"/>
                <w:szCs w:val="22"/>
              </w:rPr>
              <w:t>Pluta</w:t>
            </w:r>
            <w:proofErr w:type="spellEnd"/>
            <w:r>
              <w:rPr>
                <w:rFonts w:ascii="Calibri" w:hAnsi="Calibri"/>
                <w:color w:val="000000"/>
                <w:sz w:val="22"/>
                <w:szCs w:val="22"/>
              </w:rPr>
              <w:t xml:space="preserve"> A, </w:t>
            </w:r>
            <w:proofErr w:type="spellStart"/>
            <w:r>
              <w:rPr>
                <w:rFonts w:ascii="Calibri" w:hAnsi="Calibri"/>
                <w:color w:val="000000"/>
                <w:sz w:val="22"/>
                <w:szCs w:val="22"/>
              </w:rPr>
              <w:t>Wach</w:t>
            </w:r>
            <w:proofErr w:type="spellEnd"/>
            <w:r>
              <w:rPr>
                <w:rFonts w:ascii="Calibri" w:hAnsi="Calibri"/>
                <w:color w:val="000000"/>
                <w:sz w:val="22"/>
                <w:szCs w:val="22"/>
              </w:rPr>
              <w:t xml:space="preserve"> M, et al. ASCEND: Phase III, randomized trial of acalabrutinib versus idelalisib plus rituximab or bendamustine plus rituximab in relapsed or refractory chronic lymphocytic leukemia. J Clin Oncol. </w:t>
            </w:r>
            <w:proofErr w:type="gramStart"/>
            <w:r>
              <w:rPr>
                <w:rFonts w:ascii="Calibri" w:hAnsi="Calibri"/>
                <w:color w:val="000000"/>
                <w:sz w:val="22"/>
                <w:szCs w:val="22"/>
              </w:rPr>
              <w:t>2020;38:2849</w:t>
            </w:r>
            <w:proofErr w:type="gramEnd"/>
            <w:r>
              <w:rPr>
                <w:rFonts w:ascii="Calibri" w:hAnsi="Calibri"/>
                <w:color w:val="000000"/>
                <w:sz w:val="22"/>
                <w:szCs w:val="22"/>
              </w:rPr>
              <w:t>-2861.</w:t>
            </w:r>
          </w:p>
        </w:tc>
        <w:tc>
          <w:tcPr>
            <w:tcW w:w="4675" w:type="dxa"/>
          </w:tcPr>
          <w:p w14:paraId="62830241" w14:textId="3D6C1941"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rStyle w:val="Hyperlink"/>
                <w:b/>
                <w:sz w:val="22"/>
                <w:szCs w:val="22"/>
              </w:rPr>
            </w:pPr>
            <w:hyperlink r:id="rId22" w:history="1">
              <w:r w:rsidR="00F06442">
                <w:rPr>
                  <w:rStyle w:val="Hyperlink"/>
                  <w:rFonts w:ascii="Calibri" w:hAnsi="Calibri"/>
                  <w:sz w:val="22"/>
                  <w:szCs w:val="22"/>
                </w:rPr>
                <w:t>https://pubmed.ncbi.nlm.nih.gov/32459600/</w:t>
              </w:r>
            </w:hyperlink>
          </w:p>
        </w:tc>
      </w:tr>
      <w:tr w:rsidR="00F06442" w:rsidRPr="004C1F42" w14:paraId="29AF7CFD"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DE55753" w14:textId="7711A7CE" w:rsidR="00F06442" w:rsidRPr="004C7370" w:rsidRDefault="00F06442" w:rsidP="004C7370">
            <w:pPr>
              <w:rPr>
                <w:rFonts w:eastAsia="Times New Roman" w:cstheme="minorHAnsi"/>
                <w:color w:val="111111"/>
                <w:sz w:val="22"/>
                <w:szCs w:val="22"/>
              </w:rPr>
            </w:pPr>
            <w:proofErr w:type="spellStart"/>
            <w:r>
              <w:rPr>
                <w:rFonts w:ascii="Calibri" w:hAnsi="Calibri"/>
                <w:color w:val="000000"/>
                <w:sz w:val="22"/>
                <w:szCs w:val="22"/>
              </w:rPr>
              <w:t>Hallek</w:t>
            </w:r>
            <w:proofErr w:type="spellEnd"/>
            <w:r>
              <w:rPr>
                <w:rFonts w:ascii="Calibri" w:hAnsi="Calibri"/>
                <w:color w:val="000000"/>
                <w:sz w:val="22"/>
                <w:szCs w:val="22"/>
              </w:rPr>
              <w:t xml:space="preserve"> M, </w:t>
            </w:r>
            <w:proofErr w:type="spellStart"/>
            <w:r>
              <w:rPr>
                <w:rFonts w:ascii="Calibri" w:hAnsi="Calibri"/>
                <w:color w:val="000000"/>
                <w:sz w:val="22"/>
                <w:szCs w:val="22"/>
              </w:rPr>
              <w:t>Cheson</w:t>
            </w:r>
            <w:proofErr w:type="spellEnd"/>
            <w:r>
              <w:rPr>
                <w:rFonts w:ascii="Calibri" w:hAnsi="Calibri"/>
                <w:color w:val="000000"/>
                <w:sz w:val="22"/>
                <w:szCs w:val="22"/>
              </w:rPr>
              <w:t xml:space="preserve"> BD, </w:t>
            </w:r>
            <w:proofErr w:type="spellStart"/>
            <w:r>
              <w:rPr>
                <w:rFonts w:ascii="Calibri" w:hAnsi="Calibri"/>
                <w:color w:val="000000"/>
                <w:sz w:val="22"/>
                <w:szCs w:val="22"/>
              </w:rPr>
              <w:t>Catovsky</w:t>
            </w:r>
            <w:proofErr w:type="spellEnd"/>
            <w:r>
              <w:rPr>
                <w:rFonts w:ascii="Calibri" w:hAnsi="Calibri"/>
                <w:color w:val="000000"/>
                <w:sz w:val="22"/>
                <w:szCs w:val="22"/>
              </w:rPr>
              <w:t xml:space="preserve"> D, et al. Guidelines for the diagnosis and treatment of chronic lymphocytic leukemia: A report from the International Workshop on Chronic Lymphocytic Leukemia updating the National Cancer Institute-Working Group 1996 guidelines. Blood. </w:t>
            </w:r>
            <w:proofErr w:type="gramStart"/>
            <w:r>
              <w:rPr>
                <w:rFonts w:ascii="Calibri" w:hAnsi="Calibri"/>
                <w:color w:val="000000"/>
                <w:sz w:val="22"/>
                <w:szCs w:val="22"/>
              </w:rPr>
              <w:t>2008;111:5446</w:t>
            </w:r>
            <w:proofErr w:type="gramEnd"/>
            <w:r>
              <w:rPr>
                <w:rFonts w:ascii="Calibri" w:hAnsi="Calibri"/>
                <w:color w:val="000000"/>
                <w:sz w:val="22"/>
                <w:szCs w:val="22"/>
              </w:rPr>
              <w:t>-5456.</w:t>
            </w:r>
          </w:p>
        </w:tc>
        <w:tc>
          <w:tcPr>
            <w:tcW w:w="4675" w:type="dxa"/>
          </w:tcPr>
          <w:p w14:paraId="4253F374" w14:textId="7B5F77D4"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rStyle w:val="Hyperlink"/>
                <w:b/>
                <w:sz w:val="22"/>
                <w:szCs w:val="22"/>
              </w:rPr>
            </w:pPr>
            <w:hyperlink r:id="rId23" w:history="1">
              <w:r w:rsidR="00F06442">
                <w:rPr>
                  <w:rStyle w:val="Hyperlink"/>
                  <w:rFonts w:ascii="Calibri" w:hAnsi="Calibri"/>
                  <w:bCs/>
                  <w:sz w:val="22"/>
                  <w:szCs w:val="22"/>
                </w:rPr>
                <w:t>https://www.ncbi.nlm.nih.gov/pmc/articles/PMC2972576/</w:t>
              </w:r>
            </w:hyperlink>
          </w:p>
        </w:tc>
      </w:tr>
      <w:tr w:rsidR="00F06442" w:rsidRPr="004C1F42" w14:paraId="75F6D247"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4C5AB333" w14:textId="1884F2BC" w:rsidR="00F06442" w:rsidRPr="004C7370" w:rsidRDefault="00F06442" w:rsidP="004C7370">
            <w:pPr>
              <w:rPr>
                <w:sz w:val="22"/>
                <w:szCs w:val="22"/>
              </w:rPr>
            </w:pPr>
            <w:r>
              <w:rPr>
                <w:rFonts w:ascii="Calibri" w:hAnsi="Calibri"/>
                <w:color w:val="000000"/>
                <w:sz w:val="22"/>
                <w:szCs w:val="22"/>
              </w:rPr>
              <w:t xml:space="preserve">Hamblin TJ, Davis Z, Gardiner A, </w:t>
            </w:r>
            <w:proofErr w:type="spellStart"/>
            <w:r>
              <w:rPr>
                <w:rFonts w:ascii="Calibri" w:hAnsi="Calibri"/>
                <w:color w:val="000000"/>
                <w:sz w:val="22"/>
                <w:szCs w:val="22"/>
              </w:rPr>
              <w:t>Oscier</w:t>
            </w:r>
            <w:proofErr w:type="spellEnd"/>
            <w:r>
              <w:rPr>
                <w:rFonts w:ascii="Calibri" w:hAnsi="Calibri"/>
                <w:color w:val="000000"/>
                <w:sz w:val="22"/>
                <w:szCs w:val="22"/>
              </w:rPr>
              <w:t xml:space="preserve"> DG, Stevenson FK. Unmutated Ig V(H) genes are associated with a more aggressive form of chronic lymphocytic leukemia. Blood. </w:t>
            </w:r>
            <w:proofErr w:type="gramStart"/>
            <w:r>
              <w:rPr>
                <w:rFonts w:ascii="Calibri" w:hAnsi="Calibri"/>
                <w:color w:val="000000"/>
                <w:sz w:val="22"/>
                <w:szCs w:val="22"/>
              </w:rPr>
              <w:t>1999;94:1848</w:t>
            </w:r>
            <w:proofErr w:type="gramEnd"/>
            <w:r>
              <w:rPr>
                <w:rFonts w:ascii="Calibri" w:hAnsi="Calibri"/>
                <w:color w:val="000000"/>
                <w:sz w:val="22"/>
                <w:szCs w:val="22"/>
              </w:rPr>
              <w:t>-1854.</w:t>
            </w:r>
          </w:p>
        </w:tc>
        <w:tc>
          <w:tcPr>
            <w:tcW w:w="4675" w:type="dxa"/>
          </w:tcPr>
          <w:p w14:paraId="4E999BB2" w14:textId="3F60CD5F"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24" w:history="1">
              <w:r w:rsidR="00F06442">
                <w:rPr>
                  <w:rStyle w:val="Hyperlink"/>
                  <w:rFonts w:ascii="Calibri" w:hAnsi="Calibri"/>
                  <w:bCs/>
                  <w:sz w:val="22"/>
                  <w:szCs w:val="22"/>
                </w:rPr>
                <w:t>https://www.ncbi.nlm.nih.gov/pubmed/10477713</w:t>
              </w:r>
            </w:hyperlink>
          </w:p>
        </w:tc>
      </w:tr>
      <w:tr w:rsidR="00F06442" w:rsidRPr="004C1F42" w14:paraId="72509645"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8EDED19" w14:textId="7FB37C64" w:rsidR="00F06442" w:rsidRPr="004C7370" w:rsidRDefault="00F06442" w:rsidP="0026384B">
            <w:pPr>
              <w:rPr>
                <w:bCs w:val="0"/>
                <w:sz w:val="22"/>
                <w:szCs w:val="22"/>
              </w:rPr>
            </w:pPr>
            <w:r>
              <w:rPr>
                <w:rFonts w:ascii="Calibri" w:hAnsi="Calibri"/>
                <w:color w:val="000000"/>
                <w:sz w:val="22"/>
                <w:szCs w:val="22"/>
              </w:rPr>
              <w:t xml:space="preserve">Herman SEM, </w:t>
            </w:r>
            <w:proofErr w:type="spellStart"/>
            <w:r>
              <w:rPr>
                <w:rFonts w:ascii="Calibri" w:hAnsi="Calibri"/>
                <w:color w:val="000000"/>
                <w:sz w:val="22"/>
                <w:szCs w:val="22"/>
              </w:rPr>
              <w:t>Montraveta</w:t>
            </w:r>
            <w:proofErr w:type="spellEnd"/>
            <w:r>
              <w:rPr>
                <w:rFonts w:ascii="Calibri" w:hAnsi="Calibri"/>
                <w:color w:val="000000"/>
                <w:sz w:val="22"/>
                <w:szCs w:val="22"/>
              </w:rPr>
              <w:t xml:space="preserve"> A, Niemann CU, et al. Bruton tyrosine kinase (BTK) inhibitor acalabrutinib demonstrates potent on-target effects and efficacy in two mouse models of chronic lymphocytic leukemia Clin Cancer Res. 2017;23:2831-2841.</w:t>
            </w:r>
          </w:p>
        </w:tc>
        <w:tc>
          <w:tcPr>
            <w:tcW w:w="4675" w:type="dxa"/>
          </w:tcPr>
          <w:p w14:paraId="7AADA2EF" w14:textId="23B80217"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25" w:history="1">
              <w:r w:rsidR="00F06442">
                <w:rPr>
                  <w:rStyle w:val="Hyperlink"/>
                  <w:rFonts w:ascii="Calibri" w:hAnsi="Calibri"/>
                  <w:sz w:val="22"/>
                  <w:szCs w:val="22"/>
                </w:rPr>
                <w:t>https://clincancerres.aacrjournals.org/content/23/11/2831</w:t>
              </w:r>
            </w:hyperlink>
          </w:p>
        </w:tc>
      </w:tr>
      <w:tr w:rsidR="00F06442" w:rsidRPr="004C1F42" w14:paraId="3E35C17F"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18A1C131" w14:textId="6534E646" w:rsidR="00F06442" w:rsidRPr="004C7370" w:rsidRDefault="00F06442" w:rsidP="0026384B">
            <w:pPr>
              <w:rPr>
                <w:bCs w:val="0"/>
                <w:sz w:val="22"/>
                <w:szCs w:val="22"/>
              </w:rPr>
            </w:pPr>
            <w:r>
              <w:rPr>
                <w:rFonts w:ascii="Calibri" w:hAnsi="Calibri"/>
                <w:color w:val="000000"/>
                <w:sz w:val="22"/>
                <w:szCs w:val="22"/>
              </w:rPr>
              <w:t>Imbruvica® (ibrutinib). Prescribing information. Pharmacyclics LLC; December 2019.</w:t>
            </w:r>
          </w:p>
        </w:tc>
        <w:tc>
          <w:tcPr>
            <w:tcW w:w="4675" w:type="dxa"/>
          </w:tcPr>
          <w:p w14:paraId="2D1FF639" w14:textId="3972F4EE" w:rsidR="00F06442" w:rsidRPr="004C7370" w:rsidRDefault="00407222" w:rsidP="0026384B">
            <w:pPr>
              <w:cnfStyle w:val="000000000000" w:firstRow="0" w:lastRow="0" w:firstColumn="0" w:lastColumn="0" w:oddVBand="0" w:evenVBand="0" w:oddHBand="0" w:evenHBand="0" w:firstRowFirstColumn="0" w:firstRowLastColumn="0" w:lastRowFirstColumn="0" w:lastRowLastColumn="0"/>
              <w:rPr>
                <w:b/>
                <w:bCs/>
                <w:sz w:val="22"/>
                <w:szCs w:val="22"/>
              </w:rPr>
            </w:pPr>
            <w:hyperlink r:id="rId26" w:history="1">
              <w:r w:rsidR="00F06442">
                <w:rPr>
                  <w:rStyle w:val="Hyperlink"/>
                  <w:rFonts w:ascii="Calibri" w:hAnsi="Calibri"/>
                  <w:sz w:val="22"/>
                  <w:szCs w:val="22"/>
                </w:rPr>
                <w:t>https://imbruvica.com/files/prescribing-information.pdf</w:t>
              </w:r>
            </w:hyperlink>
          </w:p>
        </w:tc>
      </w:tr>
      <w:tr w:rsidR="00F06442" w:rsidRPr="004C1F42" w14:paraId="6632AFD4"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945DE54" w14:textId="0A2B1EB6" w:rsidR="00F06442" w:rsidRPr="004C7370" w:rsidRDefault="00F06442" w:rsidP="00A52A0C">
            <w:pPr>
              <w:rPr>
                <w:bCs w:val="0"/>
                <w:sz w:val="22"/>
                <w:szCs w:val="22"/>
              </w:rPr>
            </w:pPr>
            <w:r>
              <w:rPr>
                <w:rFonts w:ascii="Calibri" w:hAnsi="Calibri"/>
                <w:color w:val="000000"/>
                <w:sz w:val="22"/>
                <w:szCs w:val="22"/>
              </w:rPr>
              <w:t xml:space="preserve">Jones JA, Mato AR, Wierda WG, et al. Venetoclax for chronic lymphocytic </w:t>
            </w:r>
            <w:proofErr w:type="spellStart"/>
            <w:r>
              <w:rPr>
                <w:rFonts w:ascii="Calibri" w:hAnsi="Calibri"/>
                <w:color w:val="000000"/>
                <w:sz w:val="22"/>
                <w:szCs w:val="22"/>
              </w:rPr>
              <w:t>leukaemia</w:t>
            </w:r>
            <w:proofErr w:type="spellEnd"/>
            <w:r>
              <w:rPr>
                <w:rFonts w:ascii="Calibri" w:hAnsi="Calibri"/>
                <w:color w:val="000000"/>
                <w:sz w:val="22"/>
                <w:szCs w:val="22"/>
              </w:rPr>
              <w:t xml:space="preserve"> progressing after ibrutinib: An interim analysis of a multicentre, open-label, phase 2 trial. Lancet Oncol. </w:t>
            </w:r>
            <w:proofErr w:type="gramStart"/>
            <w:r>
              <w:rPr>
                <w:rFonts w:ascii="Calibri" w:hAnsi="Calibri"/>
                <w:color w:val="000000"/>
                <w:sz w:val="22"/>
                <w:szCs w:val="22"/>
              </w:rPr>
              <w:t>2018;19:65</w:t>
            </w:r>
            <w:proofErr w:type="gramEnd"/>
            <w:r>
              <w:rPr>
                <w:rFonts w:ascii="Calibri" w:hAnsi="Calibri"/>
                <w:color w:val="000000"/>
                <w:sz w:val="22"/>
                <w:szCs w:val="22"/>
              </w:rPr>
              <w:t>-75.</w:t>
            </w:r>
          </w:p>
        </w:tc>
        <w:tc>
          <w:tcPr>
            <w:tcW w:w="4675" w:type="dxa"/>
          </w:tcPr>
          <w:p w14:paraId="486F057F" w14:textId="3345F433"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27" w:history="1">
              <w:r w:rsidR="00F06442">
                <w:rPr>
                  <w:rStyle w:val="Hyperlink"/>
                  <w:rFonts w:ascii="Calibri" w:hAnsi="Calibri"/>
                  <w:sz w:val="22"/>
                  <w:szCs w:val="22"/>
                </w:rPr>
                <w:t>https://pubmed.ncbi.nlm.nih.gov/29246803/</w:t>
              </w:r>
            </w:hyperlink>
          </w:p>
        </w:tc>
      </w:tr>
      <w:tr w:rsidR="00F06442" w:rsidRPr="004C1F42" w14:paraId="2B97AD4E"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54BE45C1" w14:textId="1DB61854" w:rsidR="00F06442" w:rsidRPr="004C7370" w:rsidRDefault="00F06442" w:rsidP="00A52A0C">
            <w:pPr>
              <w:rPr>
                <w:sz w:val="22"/>
                <w:szCs w:val="22"/>
              </w:rPr>
            </w:pPr>
            <w:proofErr w:type="spellStart"/>
            <w:r>
              <w:rPr>
                <w:rFonts w:ascii="Calibri" w:hAnsi="Calibri"/>
                <w:color w:val="000000"/>
                <w:sz w:val="22"/>
                <w:szCs w:val="22"/>
              </w:rPr>
              <w:t>Kater</w:t>
            </w:r>
            <w:proofErr w:type="spellEnd"/>
            <w:r>
              <w:rPr>
                <w:rFonts w:ascii="Calibri" w:hAnsi="Calibri"/>
                <w:color w:val="000000"/>
                <w:sz w:val="22"/>
                <w:szCs w:val="22"/>
              </w:rPr>
              <w:t xml:space="preserve"> AP, Wu JQ, Kipps T, et al. Venetoclax plus rituximab in relapsed chronic lymphocytic leukemia: 4-year results and evaluation of impact of genomic complexity and gene mutations from the MURANO phase III study. J Clin Oncol. 2020;</w:t>
            </w:r>
            <w:proofErr w:type="gramStart"/>
            <w:r>
              <w:rPr>
                <w:rFonts w:ascii="Calibri" w:hAnsi="Calibri"/>
                <w:color w:val="000000"/>
                <w:sz w:val="22"/>
                <w:szCs w:val="22"/>
              </w:rPr>
              <w:t>1;38:4042</w:t>
            </w:r>
            <w:proofErr w:type="gramEnd"/>
            <w:r>
              <w:rPr>
                <w:rFonts w:ascii="Calibri" w:hAnsi="Calibri"/>
                <w:color w:val="000000"/>
                <w:sz w:val="22"/>
                <w:szCs w:val="22"/>
              </w:rPr>
              <w:t>-4054.</w:t>
            </w:r>
          </w:p>
        </w:tc>
        <w:tc>
          <w:tcPr>
            <w:tcW w:w="4675" w:type="dxa"/>
          </w:tcPr>
          <w:p w14:paraId="2286E1F8" w14:textId="6DD01326"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28" w:history="1">
              <w:r w:rsidR="00F06442">
                <w:rPr>
                  <w:rStyle w:val="Hyperlink"/>
                  <w:rFonts w:ascii="Calibri" w:hAnsi="Calibri"/>
                  <w:sz w:val="22"/>
                  <w:szCs w:val="22"/>
                </w:rPr>
                <w:t>https://pubmed.ncbi.nlm.nih.gov/32986498/</w:t>
              </w:r>
            </w:hyperlink>
          </w:p>
        </w:tc>
      </w:tr>
      <w:tr w:rsidR="00F06442" w:rsidRPr="004C1F42" w14:paraId="35057F66"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19906AB" w14:textId="627B8154" w:rsidR="00F06442" w:rsidRPr="004C7370" w:rsidRDefault="00F06442" w:rsidP="00A52A0C">
            <w:pPr>
              <w:rPr>
                <w:sz w:val="22"/>
                <w:szCs w:val="22"/>
              </w:rPr>
            </w:pPr>
            <w:r>
              <w:rPr>
                <w:rFonts w:ascii="Calibri" w:hAnsi="Calibri"/>
                <w:color w:val="000000"/>
                <w:sz w:val="22"/>
                <w:szCs w:val="22"/>
              </w:rPr>
              <w:t xml:space="preserve">Mato AR, </w:t>
            </w:r>
            <w:proofErr w:type="spellStart"/>
            <w:r>
              <w:rPr>
                <w:rFonts w:ascii="Calibri" w:hAnsi="Calibri"/>
                <w:color w:val="000000"/>
                <w:sz w:val="22"/>
                <w:szCs w:val="22"/>
              </w:rPr>
              <w:t>Roeker</w:t>
            </w:r>
            <w:proofErr w:type="spellEnd"/>
            <w:r>
              <w:rPr>
                <w:rFonts w:ascii="Calibri" w:hAnsi="Calibri"/>
                <w:color w:val="000000"/>
                <w:sz w:val="22"/>
                <w:szCs w:val="22"/>
              </w:rPr>
              <w:t xml:space="preserve"> LE, Jacobs R, et al. Assessment of the efficacy of therapies following venetoclax discontinuation in CLL reveals BTK inhibition as an effective strategy. Clin Cancer Res. </w:t>
            </w:r>
            <w:proofErr w:type="gramStart"/>
            <w:r>
              <w:rPr>
                <w:rFonts w:ascii="Calibri" w:hAnsi="Calibri"/>
                <w:color w:val="000000"/>
                <w:sz w:val="22"/>
                <w:szCs w:val="22"/>
              </w:rPr>
              <w:t>2020;26:3589</w:t>
            </w:r>
            <w:proofErr w:type="gramEnd"/>
            <w:r>
              <w:rPr>
                <w:rFonts w:ascii="Calibri" w:hAnsi="Calibri"/>
                <w:color w:val="000000"/>
                <w:sz w:val="22"/>
                <w:szCs w:val="22"/>
              </w:rPr>
              <w:t>-3596.</w:t>
            </w:r>
          </w:p>
        </w:tc>
        <w:tc>
          <w:tcPr>
            <w:tcW w:w="4675" w:type="dxa"/>
          </w:tcPr>
          <w:p w14:paraId="76A1B764" w14:textId="371D5C57"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29" w:history="1">
              <w:r w:rsidR="00F06442">
                <w:rPr>
                  <w:rStyle w:val="Hyperlink"/>
                  <w:rFonts w:ascii="Calibri" w:hAnsi="Calibri"/>
                  <w:sz w:val="22"/>
                  <w:szCs w:val="22"/>
                </w:rPr>
                <w:t>https://pubmed.ncbi.nlm.nih.gov/32198151/</w:t>
              </w:r>
            </w:hyperlink>
          </w:p>
        </w:tc>
      </w:tr>
      <w:tr w:rsidR="00F06442" w:rsidRPr="004C1F42" w14:paraId="734E23C7"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38B3E0A3" w14:textId="7C6C53DD" w:rsidR="00F06442" w:rsidRPr="004C7370" w:rsidRDefault="00F06442" w:rsidP="00A52A0C">
            <w:pPr>
              <w:rPr>
                <w:sz w:val="22"/>
                <w:szCs w:val="22"/>
              </w:rPr>
            </w:pPr>
            <w:r>
              <w:rPr>
                <w:rFonts w:ascii="Calibri" w:hAnsi="Calibri"/>
                <w:color w:val="000000"/>
                <w:sz w:val="22"/>
                <w:szCs w:val="22"/>
              </w:rPr>
              <w:t xml:space="preserve">O'Brien S, Furman RR, </w:t>
            </w:r>
            <w:proofErr w:type="spellStart"/>
            <w:r>
              <w:rPr>
                <w:rFonts w:ascii="Calibri" w:hAnsi="Calibri"/>
                <w:color w:val="000000"/>
                <w:sz w:val="22"/>
                <w:szCs w:val="22"/>
              </w:rPr>
              <w:t>Coutre</w:t>
            </w:r>
            <w:proofErr w:type="spellEnd"/>
            <w:r>
              <w:rPr>
                <w:rFonts w:ascii="Calibri" w:hAnsi="Calibri"/>
                <w:color w:val="000000"/>
                <w:sz w:val="22"/>
                <w:szCs w:val="22"/>
              </w:rPr>
              <w:t xml:space="preserve"> S, et al. Single-agent ibrutinib in treatment-naïve and relapsed/refractory chronic lymphocytic leukemia: A 5-year experience. Blood. </w:t>
            </w:r>
            <w:proofErr w:type="gramStart"/>
            <w:r>
              <w:rPr>
                <w:rFonts w:ascii="Calibri" w:hAnsi="Calibri"/>
                <w:color w:val="000000"/>
                <w:sz w:val="22"/>
                <w:szCs w:val="22"/>
              </w:rPr>
              <w:t>2018;131:1910</w:t>
            </w:r>
            <w:proofErr w:type="gramEnd"/>
            <w:r>
              <w:rPr>
                <w:rFonts w:ascii="Calibri" w:hAnsi="Calibri"/>
                <w:color w:val="000000"/>
                <w:sz w:val="22"/>
                <w:szCs w:val="22"/>
              </w:rPr>
              <w:t>-1919.</w:t>
            </w:r>
          </w:p>
        </w:tc>
        <w:tc>
          <w:tcPr>
            <w:tcW w:w="4675" w:type="dxa"/>
          </w:tcPr>
          <w:p w14:paraId="67BDB178" w14:textId="62DA3274"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30" w:history="1">
              <w:r w:rsidR="00F06442">
                <w:rPr>
                  <w:rStyle w:val="Hyperlink"/>
                  <w:rFonts w:ascii="Calibri" w:hAnsi="Calibri"/>
                  <w:bCs/>
                  <w:sz w:val="22"/>
                  <w:szCs w:val="22"/>
                </w:rPr>
                <w:t>https://pubmed.ncbi.nlm.nih.gov/29437592/</w:t>
              </w:r>
            </w:hyperlink>
          </w:p>
        </w:tc>
      </w:tr>
      <w:tr w:rsidR="00F06442" w:rsidRPr="004C1F42" w14:paraId="2E512B48"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C70E246" w14:textId="67CE7F01" w:rsidR="00F06442" w:rsidRPr="004C7370" w:rsidRDefault="00F06442" w:rsidP="007F1C2A">
            <w:pPr>
              <w:rPr>
                <w:sz w:val="22"/>
                <w:szCs w:val="22"/>
              </w:rPr>
            </w:pPr>
            <w:proofErr w:type="spellStart"/>
            <w:r>
              <w:rPr>
                <w:rFonts w:ascii="Calibri" w:hAnsi="Calibri"/>
                <w:color w:val="000000"/>
                <w:sz w:val="22"/>
                <w:szCs w:val="22"/>
              </w:rPr>
              <w:t>Roeker</w:t>
            </w:r>
            <w:proofErr w:type="spellEnd"/>
            <w:r>
              <w:rPr>
                <w:rFonts w:ascii="Calibri" w:hAnsi="Calibri"/>
                <w:color w:val="000000"/>
                <w:sz w:val="22"/>
                <w:szCs w:val="22"/>
              </w:rPr>
              <w:t xml:space="preserve"> LE, Dreger P, Brown JR, et al. Allogeneic stem cell transplantation for chronic lymphocytic leukemia in the era of novel agents. Blood Adv. </w:t>
            </w:r>
            <w:proofErr w:type="gramStart"/>
            <w:r>
              <w:rPr>
                <w:rFonts w:ascii="Calibri" w:hAnsi="Calibri"/>
                <w:color w:val="000000"/>
                <w:sz w:val="22"/>
                <w:szCs w:val="22"/>
              </w:rPr>
              <w:t>2020;4:3977</w:t>
            </w:r>
            <w:proofErr w:type="gramEnd"/>
            <w:r>
              <w:rPr>
                <w:rFonts w:ascii="Calibri" w:hAnsi="Calibri"/>
                <w:color w:val="000000"/>
                <w:sz w:val="22"/>
                <w:szCs w:val="22"/>
              </w:rPr>
              <w:t>-3989.</w:t>
            </w:r>
          </w:p>
        </w:tc>
        <w:tc>
          <w:tcPr>
            <w:tcW w:w="4675" w:type="dxa"/>
          </w:tcPr>
          <w:p w14:paraId="31A55240" w14:textId="77EB34A8"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sz w:val="22"/>
                <w:szCs w:val="22"/>
              </w:rPr>
            </w:pPr>
            <w:hyperlink r:id="rId31" w:history="1">
              <w:r w:rsidR="00F06442">
                <w:rPr>
                  <w:rStyle w:val="Hyperlink"/>
                  <w:rFonts w:ascii="Calibri" w:hAnsi="Calibri"/>
                  <w:sz w:val="22"/>
                  <w:szCs w:val="22"/>
                </w:rPr>
                <w:t>https://pubmed.ncbi.nlm.nih.gov/32841336/</w:t>
              </w:r>
            </w:hyperlink>
          </w:p>
        </w:tc>
      </w:tr>
      <w:tr w:rsidR="00F06442" w:rsidRPr="004C1F42" w14:paraId="34B2AB00"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27494C63" w14:textId="1550156F" w:rsidR="00F06442" w:rsidRPr="004C7370" w:rsidRDefault="00F06442" w:rsidP="007F1C2A">
            <w:pPr>
              <w:rPr>
                <w:sz w:val="22"/>
                <w:szCs w:val="22"/>
              </w:rPr>
            </w:pPr>
            <w:r>
              <w:rPr>
                <w:rFonts w:ascii="Calibri" w:hAnsi="Calibri"/>
                <w:color w:val="000000"/>
                <w:sz w:val="22"/>
                <w:szCs w:val="22"/>
              </w:rPr>
              <w:t xml:space="preserve">Seymour JF, Kipps TJ, Eichhorst B, et al. Venetoclax-rituximab in relapsed or refractory chronic lymphocytic leukemia. N </w:t>
            </w:r>
            <w:proofErr w:type="spellStart"/>
            <w:r>
              <w:rPr>
                <w:rFonts w:ascii="Calibri" w:hAnsi="Calibri"/>
                <w:color w:val="000000"/>
                <w:sz w:val="22"/>
                <w:szCs w:val="22"/>
              </w:rPr>
              <w:t>Engl</w:t>
            </w:r>
            <w:proofErr w:type="spellEnd"/>
            <w:r>
              <w:rPr>
                <w:rFonts w:ascii="Calibri" w:hAnsi="Calibri"/>
                <w:color w:val="000000"/>
                <w:sz w:val="22"/>
                <w:szCs w:val="22"/>
              </w:rPr>
              <w:t xml:space="preserve"> J Med. </w:t>
            </w:r>
            <w:proofErr w:type="gramStart"/>
            <w:r>
              <w:rPr>
                <w:rFonts w:ascii="Calibri" w:hAnsi="Calibri"/>
                <w:color w:val="000000"/>
                <w:sz w:val="22"/>
                <w:szCs w:val="22"/>
              </w:rPr>
              <w:t>2018;378:1107</w:t>
            </w:r>
            <w:proofErr w:type="gramEnd"/>
            <w:r>
              <w:rPr>
                <w:rFonts w:ascii="Calibri" w:hAnsi="Calibri"/>
                <w:color w:val="000000"/>
                <w:sz w:val="22"/>
                <w:szCs w:val="22"/>
              </w:rPr>
              <w:t>-1120.</w:t>
            </w:r>
          </w:p>
        </w:tc>
        <w:tc>
          <w:tcPr>
            <w:tcW w:w="4675" w:type="dxa"/>
          </w:tcPr>
          <w:p w14:paraId="42042956" w14:textId="3C52F54D"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32" w:history="1">
              <w:r w:rsidR="00F06442">
                <w:rPr>
                  <w:rStyle w:val="Hyperlink"/>
                  <w:rFonts w:ascii="Calibri" w:hAnsi="Calibri"/>
                  <w:bCs/>
                  <w:sz w:val="22"/>
                  <w:szCs w:val="22"/>
                </w:rPr>
                <w:t>https://www.ncbi.nlm.nih.gov/pubmed/29562156</w:t>
              </w:r>
            </w:hyperlink>
          </w:p>
        </w:tc>
      </w:tr>
      <w:tr w:rsidR="00F06442" w:rsidRPr="004C1F42" w14:paraId="1C843EAE"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F4531C0" w14:textId="55996ABB" w:rsidR="00F06442" w:rsidRPr="004C7370" w:rsidRDefault="00F06442" w:rsidP="004C7370">
            <w:pPr>
              <w:rPr>
                <w:rFonts w:eastAsia="Times New Roman" w:cstheme="minorHAnsi"/>
                <w:color w:val="111111"/>
                <w:sz w:val="22"/>
                <w:szCs w:val="22"/>
              </w:rPr>
            </w:pPr>
            <w:proofErr w:type="spellStart"/>
            <w:r>
              <w:rPr>
                <w:rFonts w:ascii="Calibri" w:hAnsi="Calibri"/>
                <w:color w:val="000000"/>
                <w:sz w:val="22"/>
                <w:szCs w:val="22"/>
              </w:rPr>
              <w:t>Shanafelt</w:t>
            </w:r>
            <w:proofErr w:type="spellEnd"/>
            <w:r>
              <w:rPr>
                <w:rFonts w:ascii="Calibri" w:hAnsi="Calibri"/>
                <w:color w:val="000000"/>
                <w:sz w:val="22"/>
                <w:szCs w:val="22"/>
              </w:rPr>
              <w:t xml:space="preserve"> TD, Wang XV, Kay NE, et al. Ibrutinib–rituximab or chemoimmunotherapy for chronic lymphocytic leukemia. N </w:t>
            </w:r>
            <w:proofErr w:type="spellStart"/>
            <w:r>
              <w:rPr>
                <w:rFonts w:ascii="Calibri" w:hAnsi="Calibri"/>
                <w:color w:val="000000"/>
                <w:sz w:val="22"/>
                <w:szCs w:val="22"/>
              </w:rPr>
              <w:t>Engl</w:t>
            </w:r>
            <w:proofErr w:type="spellEnd"/>
            <w:r>
              <w:rPr>
                <w:rFonts w:ascii="Calibri" w:hAnsi="Calibri"/>
                <w:color w:val="000000"/>
                <w:sz w:val="22"/>
                <w:szCs w:val="22"/>
              </w:rPr>
              <w:t xml:space="preserve"> J Med. </w:t>
            </w:r>
            <w:proofErr w:type="gramStart"/>
            <w:r>
              <w:rPr>
                <w:rFonts w:ascii="Calibri" w:hAnsi="Calibri"/>
                <w:color w:val="000000"/>
                <w:sz w:val="22"/>
                <w:szCs w:val="22"/>
              </w:rPr>
              <w:t>2019;381:432</w:t>
            </w:r>
            <w:proofErr w:type="gramEnd"/>
            <w:r>
              <w:rPr>
                <w:rFonts w:ascii="Calibri" w:hAnsi="Calibri"/>
                <w:color w:val="000000"/>
                <w:sz w:val="22"/>
                <w:szCs w:val="22"/>
              </w:rPr>
              <w:t>-443.</w:t>
            </w:r>
          </w:p>
        </w:tc>
        <w:tc>
          <w:tcPr>
            <w:tcW w:w="4675" w:type="dxa"/>
          </w:tcPr>
          <w:p w14:paraId="7C92884F" w14:textId="79A06704"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rStyle w:val="Hyperlink"/>
                <w:b/>
                <w:sz w:val="22"/>
                <w:szCs w:val="22"/>
              </w:rPr>
            </w:pPr>
            <w:hyperlink r:id="rId33" w:history="1">
              <w:r w:rsidR="00F06442">
                <w:rPr>
                  <w:rStyle w:val="Hyperlink"/>
                  <w:rFonts w:ascii="Calibri" w:hAnsi="Calibri"/>
                  <w:sz w:val="22"/>
                  <w:szCs w:val="22"/>
                </w:rPr>
                <w:t>https://www.nejm.org/doi/full/10.1056/nejmoa1817073</w:t>
              </w:r>
            </w:hyperlink>
          </w:p>
        </w:tc>
      </w:tr>
      <w:tr w:rsidR="00F06442" w:rsidRPr="004C1F42" w14:paraId="5866FD81"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186555FB" w14:textId="199CF18D" w:rsidR="00F06442" w:rsidRPr="004C7370" w:rsidRDefault="00F06442" w:rsidP="007F1C2A">
            <w:pPr>
              <w:rPr>
                <w:sz w:val="22"/>
                <w:szCs w:val="22"/>
              </w:rPr>
            </w:pPr>
            <w:r>
              <w:rPr>
                <w:rFonts w:ascii="Calibri" w:hAnsi="Calibri"/>
                <w:color w:val="000000"/>
                <w:sz w:val="22"/>
                <w:szCs w:val="22"/>
              </w:rPr>
              <w:t xml:space="preserve">Sharman JP, </w:t>
            </w:r>
            <w:proofErr w:type="spellStart"/>
            <w:r>
              <w:rPr>
                <w:rFonts w:ascii="Calibri" w:hAnsi="Calibri"/>
                <w:color w:val="000000"/>
                <w:sz w:val="22"/>
                <w:szCs w:val="22"/>
              </w:rPr>
              <w:t>Coutre</w:t>
            </w:r>
            <w:proofErr w:type="spellEnd"/>
            <w:r>
              <w:rPr>
                <w:rFonts w:ascii="Calibri" w:hAnsi="Calibri"/>
                <w:color w:val="000000"/>
                <w:sz w:val="22"/>
                <w:szCs w:val="22"/>
              </w:rPr>
              <w:t xml:space="preserve"> SE, Furman RR, et al. Final results of a randomized, phase III study of rituximab with or without idelalisib followed by open-label idelalisib in patients with relapsed chronic lymphocytic leukemia. J Clin Oncol. </w:t>
            </w:r>
            <w:proofErr w:type="gramStart"/>
            <w:r>
              <w:rPr>
                <w:rFonts w:ascii="Calibri" w:hAnsi="Calibri"/>
                <w:color w:val="000000"/>
                <w:sz w:val="22"/>
                <w:szCs w:val="22"/>
              </w:rPr>
              <w:t>2019;37:1391</w:t>
            </w:r>
            <w:proofErr w:type="gramEnd"/>
            <w:r>
              <w:rPr>
                <w:rFonts w:ascii="Calibri" w:hAnsi="Calibri"/>
                <w:color w:val="000000"/>
                <w:sz w:val="22"/>
                <w:szCs w:val="22"/>
              </w:rPr>
              <w:t>-1402.</w:t>
            </w:r>
          </w:p>
        </w:tc>
        <w:tc>
          <w:tcPr>
            <w:tcW w:w="4675" w:type="dxa"/>
          </w:tcPr>
          <w:p w14:paraId="02A03D94" w14:textId="34EB73AF"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34" w:history="1">
              <w:r w:rsidR="00F06442">
                <w:rPr>
                  <w:rStyle w:val="Hyperlink"/>
                  <w:rFonts w:ascii="Calibri" w:hAnsi="Calibri"/>
                  <w:sz w:val="22"/>
                  <w:szCs w:val="22"/>
                </w:rPr>
                <w:t>https://pubmed.ncbi.nlm.nih.gov/30995176/</w:t>
              </w:r>
            </w:hyperlink>
          </w:p>
        </w:tc>
      </w:tr>
      <w:tr w:rsidR="00F06442" w:rsidRPr="004C1F42" w14:paraId="4FF4AC06"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70CB2324" w14:textId="47C1C2A9" w:rsidR="00F06442" w:rsidRPr="004C7370" w:rsidRDefault="00F06442" w:rsidP="007F1C2A">
            <w:pPr>
              <w:rPr>
                <w:sz w:val="22"/>
                <w:szCs w:val="22"/>
              </w:rPr>
            </w:pPr>
            <w:r>
              <w:rPr>
                <w:rFonts w:ascii="Calibri" w:hAnsi="Calibri"/>
                <w:color w:val="000000"/>
                <w:sz w:val="22"/>
                <w:szCs w:val="22"/>
              </w:rPr>
              <w:t xml:space="preserve">Sharman JP, </w:t>
            </w:r>
            <w:proofErr w:type="spellStart"/>
            <w:r>
              <w:rPr>
                <w:rFonts w:ascii="Calibri" w:hAnsi="Calibri"/>
                <w:color w:val="000000"/>
                <w:sz w:val="22"/>
                <w:szCs w:val="22"/>
              </w:rPr>
              <w:t>Egyed</w:t>
            </w:r>
            <w:proofErr w:type="spellEnd"/>
            <w:r>
              <w:rPr>
                <w:rFonts w:ascii="Calibri" w:hAnsi="Calibri"/>
                <w:color w:val="000000"/>
                <w:sz w:val="22"/>
                <w:szCs w:val="22"/>
              </w:rPr>
              <w:t xml:space="preserve"> M, </w:t>
            </w:r>
            <w:proofErr w:type="spellStart"/>
            <w:r>
              <w:rPr>
                <w:rFonts w:ascii="Calibri" w:hAnsi="Calibri"/>
                <w:color w:val="000000"/>
                <w:sz w:val="22"/>
                <w:szCs w:val="22"/>
              </w:rPr>
              <w:t>Jurczak</w:t>
            </w:r>
            <w:proofErr w:type="spellEnd"/>
            <w:r>
              <w:rPr>
                <w:rFonts w:ascii="Calibri" w:hAnsi="Calibri"/>
                <w:color w:val="000000"/>
                <w:sz w:val="22"/>
                <w:szCs w:val="22"/>
              </w:rPr>
              <w:t xml:space="preserve"> W, et al. Acalabrutinib with or without obinutuzumab versus chlorambucil and obinutuzumab for treatment-naive chronic lymphocytic </w:t>
            </w:r>
            <w:proofErr w:type="spellStart"/>
            <w:r>
              <w:rPr>
                <w:rFonts w:ascii="Calibri" w:hAnsi="Calibri"/>
                <w:color w:val="000000"/>
                <w:sz w:val="22"/>
                <w:szCs w:val="22"/>
              </w:rPr>
              <w:t>leukaemia</w:t>
            </w:r>
            <w:proofErr w:type="spellEnd"/>
            <w:r>
              <w:rPr>
                <w:rFonts w:ascii="Calibri" w:hAnsi="Calibri"/>
                <w:color w:val="000000"/>
                <w:sz w:val="22"/>
                <w:szCs w:val="22"/>
              </w:rPr>
              <w:t xml:space="preserve"> (ELEVATE TN): A randomised, controlled, phase 3 trial. Lancet. </w:t>
            </w:r>
            <w:proofErr w:type="gramStart"/>
            <w:r>
              <w:rPr>
                <w:rFonts w:ascii="Calibri" w:hAnsi="Calibri"/>
                <w:color w:val="000000"/>
                <w:sz w:val="22"/>
                <w:szCs w:val="22"/>
              </w:rPr>
              <w:t>2020;395:1278</w:t>
            </w:r>
            <w:proofErr w:type="gramEnd"/>
            <w:r>
              <w:rPr>
                <w:rFonts w:ascii="Calibri" w:hAnsi="Calibri"/>
                <w:color w:val="000000"/>
                <w:sz w:val="22"/>
                <w:szCs w:val="22"/>
              </w:rPr>
              <w:t>-1291.</w:t>
            </w:r>
          </w:p>
        </w:tc>
        <w:tc>
          <w:tcPr>
            <w:tcW w:w="4675" w:type="dxa"/>
          </w:tcPr>
          <w:p w14:paraId="3C1014A4" w14:textId="6F55AF2C"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bCs/>
                <w:sz w:val="22"/>
                <w:szCs w:val="22"/>
              </w:rPr>
            </w:pPr>
            <w:hyperlink r:id="rId35" w:history="1">
              <w:r w:rsidR="00F06442">
                <w:rPr>
                  <w:rStyle w:val="Hyperlink"/>
                  <w:rFonts w:ascii="Calibri" w:hAnsi="Calibri"/>
                  <w:sz w:val="22"/>
                  <w:szCs w:val="22"/>
                </w:rPr>
                <w:t>https://pubmed.ncbi.nlm.nih.gov/32305093/</w:t>
              </w:r>
            </w:hyperlink>
          </w:p>
        </w:tc>
      </w:tr>
      <w:tr w:rsidR="00F06442" w:rsidRPr="004C1F42" w14:paraId="624ABC2A"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787830DA" w14:textId="452E2CC3" w:rsidR="00F06442" w:rsidRPr="004C7370" w:rsidRDefault="00F06442" w:rsidP="007F1C2A">
            <w:pPr>
              <w:rPr>
                <w:sz w:val="22"/>
                <w:szCs w:val="22"/>
              </w:rPr>
            </w:pPr>
            <w:proofErr w:type="spellStart"/>
            <w:r>
              <w:rPr>
                <w:rFonts w:ascii="Calibri" w:hAnsi="Calibri"/>
                <w:color w:val="000000"/>
                <w:sz w:val="22"/>
                <w:szCs w:val="22"/>
              </w:rPr>
              <w:t>Suyko</w:t>
            </w:r>
            <w:proofErr w:type="spellEnd"/>
            <w:r>
              <w:rPr>
                <w:rFonts w:ascii="Calibri" w:hAnsi="Calibri"/>
                <w:color w:val="000000"/>
                <w:sz w:val="22"/>
                <w:szCs w:val="22"/>
              </w:rPr>
              <w:t xml:space="preserve"> J. National Community Oncology Dispensing Association (NCODA). Positive quality intervention: Venetoclax (</w:t>
            </w:r>
            <w:proofErr w:type="spellStart"/>
            <w:r>
              <w:rPr>
                <w:rFonts w:ascii="Calibri" w:hAnsi="Calibri"/>
                <w:color w:val="000000"/>
                <w:sz w:val="22"/>
                <w:szCs w:val="22"/>
              </w:rPr>
              <w:t>Venclexta</w:t>
            </w:r>
            <w:proofErr w:type="spellEnd"/>
            <w:r>
              <w:rPr>
                <w:rFonts w:ascii="Calibri" w:hAnsi="Calibri"/>
                <w:color w:val="000000"/>
                <w:sz w:val="22"/>
                <w:szCs w:val="22"/>
              </w:rPr>
              <w:t>®) risk stratification, dosing, and dispensing procedure. Updated September 22, 2021.</w:t>
            </w:r>
          </w:p>
        </w:tc>
        <w:tc>
          <w:tcPr>
            <w:tcW w:w="4675" w:type="dxa"/>
          </w:tcPr>
          <w:p w14:paraId="35F710C2" w14:textId="1777FF65"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36" w:history="1">
              <w:r w:rsidR="00F06442">
                <w:rPr>
                  <w:rStyle w:val="Hyperlink"/>
                  <w:rFonts w:ascii="Calibri" w:hAnsi="Calibri"/>
                  <w:sz w:val="22"/>
                </w:rPr>
                <w:t>https://www.ncoda.org/wp-content/uploads/2021/09/Venetoclax-Venclexta-Risk-Stratification-Dosing-and-Dispensing-Procedure-updated-9.22.21.pdf</w:t>
              </w:r>
            </w:hyperlink>
          </w:p>
        </w:tc>
      </w:tr>
      <w:tr w:rsidR="00F06442" w:rsidRPr="004C1F42" w14:paraId="21EFC747" w14:textId="77777777" w:rsidTr="00E80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058F4535" w14:textId="718D9543" w:rsidR="00F06442" w:rsidRPr="004C7370" w:rsidRDefault="00F06442" w:rsidP="00A63A14">
            <w:pPr>
              <w:rPr>
                <w:sz w:val="22"/>
                <w:szCs w:val="22"/>
              </w:rPr>
            </w:pPr>
            <w:proofErr w:type="spellStart"/>
            <w:r>
              <w:rPr>
                <w:rFonts w:ascii="Calibri" w:hAnsi="Calibri"/>
                <w:color w:val="000000"/>
                <w:sz w:val="22"/>
                <w:szCs w:val="22"/>
              </w:rPr>
              <w:t>Woyach</w:t>
            </w:r>
            <w:proofErr w:type="spellEnd"/>
            <w:r>
              <w:rPr>
                <w:rFonts w:ascii="Calibri" w:hAnsi="Calibri"/>
                <w:color w:val="000000"/>
                <w:sz w:val="22"/>
                <w:szCs w:val="22"/>
              </w:rPr>
              <w:t xml:space="preserve"> JA, Ruppert AS, </w:t>
            </w:r>
            <w:proofErr w:type="spellStart"/>
            <w:r>
              <w:rPr>
                <w:rFonts w:ascii="Calibri" w:hAnsi="Calibri"/>
                <w:color w:val="000000"/>
                <w:sz w:val="22"/>
                <w:szCs w:val="22"/>
              </w:rPr>
              <w:t>Heerema</w:t>
            </w:r>
            <w:proofErr w:type="spellEnd"/>
            <w:r>
              <w:rPr>
                <w:rFonts w:ascii="Calibri" w:hAnsi="Calibri"/>
                <w:color w:val="000000"/>
                <w:sz w:val="22"/>
                <w:szCs w:val="22"/>
              </w:rPr>
              <w:t xml:space="preserve"> NA, et al. Ibrutinib regimens versus chemoimmunotherapy in older patients with untreated CLL. N </w:t>
            </w:r>
            <w:proofErr w:type="spellStart"/>
            <w:r>
              <w:rPr>
                <w:rFonts w:ascii="Calibri" w:hAnsi="Calibri"/>
                <w:color w:val="000000"/>
                <w:sz w:val="22"/>
                <w:szCs w:val="22"/>
              </w:rPr>
              <w:t>Engl</w:t>
            </w:r>
            <w:proofErr w:type="spellEnd"/>
            <w:r>
              <w:rPr>
                <w:rFonts w:ascii="Calibri" w:hAnsi="Calibri"/>
                <w:color w:val="000000"/>
                <w:sz w:val="22"/>
                <w:szCs w:val="22"/>
              </w:rPr>
              <w:t xml:space="preserve"> J Med. 2018;</w:t>
            </w:r>
            <w:proofErr w:type="gramStart"/>
            <w:r>
              <w:rPr>
                <w:rFonts w:ascii="Calibri" w:hAnsi="Calibri"/>
                <w:color w:val="000000"/>
                <w:sz w:val="22"/>
                <w:szCs w:val="22"/>
              </w:rPr>
              <w:t>27;379:2517</w:t>
            </w:r>
            <w:proofErr w:type="gramEnd"/>
            <w:r>
              <w:rPr>
                <w:rFonts w:ascii="Calibri" w:hAnsi="Calibri"/>
                <w:color w:val="000000"/>
                <w:sz w:val="22"/>
                <w:szCs w:val="22"/>
              </w:rPr>
              <w:t>-2528.</w:t>
            </w:r>
          </w:p>
        </w:tc>
        <w:tc>
          <w:tcPr>
            <w:tcW w:w="4675" w:type="dxa"/>
          </w:tcPr>
          <w:p w14:paraId="645EBFC5" w14:textId="5FA427CB" w:rsidR="00F06442" w:rsidRPr="004C7370" w:rsidRDefault="00407222" w:rsidP="004C7370">
            <w:pPr>
              <w:cnfStyle w:val="000000100000" w:firstRow="0" w:lastRow="0" w:firstColumn="0" w:lastColumn="0" w:oddVBand="0" w:evenVBand="0" w:oddHBand="1" w:evenHBand="0" w:firstRowFirstColumn="0" w:firstRowLastColumn="0" w:lastRowFirstColumn="0" w:lastRowLastColumn="0"/>
              <w:rPr>
                <w:b/>
                <w:sz w:val="22"/>
                <w:szCs w:val="22"/>
              </w:rPr>
            </w:pPr>
            <w:hyperlink r:id="rId37" w:history="1">
              <w:r w:rsidR="00F06442">
                <w:rPr>
                  <w:rStyle w:val="Hyperlink"/>
                  <w:rFonts w:ascii="Calibri" w:hAnsi="Calibri"/>
                  <w:sz w:val="22"/>
                  <w:szCs w:val="22"/>
                </w:rPr>
                <w:t>https://pubmed.ncbi.nlm.nih.gov/30501481/</w:t>
              </w:r>
            </w:hyperlink>
          </w:p>
        </w:tc>
      </w:tr>
      <w:tr w:rsidR="00F06442" w14:paraId="174C58F8" w14:textId="77777777" w:rsidTr="00E80F10">
        <w:tc>
          <w:tcPr>
            <w:cnfStyle w:val="001000000000" w:firstRow="0" w:lastRow="0" w:firstColumn="1" w:lastColumn="0" w:oddVBand="0" w:evenVBand="0" w:oddHBand="0" w:evenHBand="0" w:firstRowFirstColumn="0" w:firstRowLastColumn="0" w:lastRowFirstColumn="0" w:lastRowLastColumn="0"/>
            <w:tcW w:w="4675" w:type="dxa"/>
            <w:vAlign w:val="center"/>
          </w:tcPr>
          <w:p w14:paraId="6F9A20B0" w14:textId="37978BB6" w:rsidR="00F06442" w:rsidRPr="004C7370" w:rsidRDefault="00F06442" w:rsidP="00A63A14">
            <w:pPr>
              <w:rPr>
                <w:sz w:val="22"/>
                <w:szCs w:val="22"/>
              </w:rPr>
            </w:pPr>
            <w:r>
              <w:rPr>
                <w:rFonts w:ascii="Calibri" w:hAnsi="Calibri"/>
                <w:color w:val="000000"/>
                <w:sz w:val="22"/>
                <w:szCs w:val="22"/>
              </w:rPr>
              <w:t>Zydelig® (idelalisib). Prescribing information. Gilead Sciences, Inc; October 2020.</w:t>
            </w:r>
          </w:p>
        </w:tc>
        <w:tc>
          <w:tcPr>
            <w:tcW w:w="4675" w:type="dxa"/>
          </w:tcPr>
          <w:p w14:paraId="06E4EC5D" w14:textId="4BD78D59" w:rsidR="00F06442" w:rsidRPr="004C7370" w:rsidRDefault="00407222" w:rsidP="004C7370">
            <w:pPr>
              <w:cnfStyle w:val="000000000000" w:firstRow="0" w:lastRow="0" w:firstColumn="0" w:lastColumn="0" w:oddVBand="0" w:evenVBand="0" w:oddHBand="0" w:evenHBand="0" w:firstRowFirstColumn="0" w:firstRowLastColumn="0" w:lastRowFirstColumn="0" w:lastRowLastColumn="0"/>
              <w:rPr>
                <w:b/>
                <w:bCs/>
                <w:sz w:val="22"/>
                <w:szCs w:val="22"/>
              </w:rPr>
            </w:pPr>
            <w:hyperlink r:id="rId38" w:history="1">
              <w:r w:rsidR="00F06442">
                <w:rPr>
                  <w:rStyle w:val="Hyperlink"/>
                  <w:rFonts w:ascii="Calibri" w:hAnsi="Calibri"/>
                  <w:sz w:val="22"/>
                  <w:szCs w:val="22"/>
                </w:rPr>
                <w:t>https://www.gilead.com/~/media/Files/pdfs/medicines/oncology/zydelig/zydelig_pi.pdf</w:t>
              </w:r>
            </w:hyperlink>
          </w:p>
        </w:tc>
      </w:tr>
    </w:tbl>
    <w:p w14:paraId="0F9AF2BB" w14:textId="6C1CBB4A" w:rsidR="00856BF7" w:rsidRDefault="00856BF7" w:rsidP="00C11C11"/>
    <w:sectPr w:rsidR="00856BF7" w:rsidSect="00273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C7934"/>
    <w:multiLevelType w:val="hybridMultilevel"/>
    <w:tmpl w:val="2B7C7ACC"/>
    <w:lvl w:ilvl="0" w:tplc="59F8E1E2">
      <w:start w:val="1"/>
      <w:numFmt w:val="bullet"/>
      <w:lvlText w:val="–"/>
      <w:lvlJc w:val="left"/>
      <w:pPr>
        <w:tabs>
          <w:tab w:val="num" w:pos="720"/>
        </w:tabs>
        <w:ind w:left="720" w:hanging="360"/>
      </w:pPr>
      <w:rPr>
        <w:rFonts w:ascii="Arial" w:hAnsi="Arial" w:hint="default"/>
      </w:rPr>
    </w:lvl>
    <w:lvl w:ilvl="1" w:tplc="151407AC">
      <w:start w:val="1"/>
      <w:numFmt w:val="bullet"/>
      <w:lvlText w:val="–"/>
      <w:lvlJc w:val="left"/>
      <w:pPr>
        <w:tabs>
          <w:tab w:val="num" w:pos="1440"/>
        </w:tabs>
        <w:ind w:left="1440" w:hanging="360"/>
      </w:pPr>
      <w:rPr>
        <w:rFonts w:ascii="Arial" w:hAnsi="Arial" w:hint="default"/>
      </w:rPr>
    </w:lvl>
    <w:lvl w:ilvl="2" w:tplc="CF08FBD4" w:tentative="1">
      <w:start w:val="1"/>
      <w:numFmt w:val="bullet"/>
      <w:lvlText w:val="–"/>
      <w:lvlJc w:val="left"/>
      <w:pPr>
        <w:tabs>
          <w:tab w:val="num" w:pos="2160"/>
        </w:tabs>
        <w:ind w:left="2160" w:hanging="360"/>
      </w:pPr>
      <w:rPr>
        <w:rFonts w:ascii="Arial" w:hAnsi="Arial" w:hint="default"/>
      </w:rPr>
    </w:lvl>
    <w:lvl w:ilvl="3" w:tplc="B86EC9A6" w:tentative="1">
      <w:start w:val="1"/>
      <w:numFmt w:val="bullet"/>
      <w:lvlText w:val="–"/>
      <w:lvlJc w:val="left"/>
      <w:pPr>
        <w:tabs>
          <w:tab w:val="num" w:pos="2880"/>
        </w:tabs>
        <w:ind w:left="2880" w:hanging="360"/>
      </w:pPr>
      <w:rPr>
        <w:rFonts w:ascii="Arial" w:hAnsi="Arial" w:hint="default"/>
      </w:rPr>
    </w:lvl>
    <w:lvl w:ilvl="4" w:tplc="5AD4EB44" w:tentative="1">
      <w:start w:val="1"/>
      <w:numFmt w:val="bullet"/>
      <w:lvlText w:val="–"/>
      <w:lvlJc w:val="left"/>
      <w:pPr>
        <w:tabs>
          <w:tab w:val="num" w:pos="3600"/>
        </w:tabs>
        <w:ind w:left="3600" w:hanging="360"/>
      </w:pPr>
      <w:rPr>
        <w:rFonts w:ascii="Arial" w:hAnsi="Arial" w:hint="default"/>
      </w:rPr>
    </w:lvl>
    <w:lvl w:ilvl="5" w:tplc="48F8B7B6" w:tentative="1">
      <w:start w:val="1"/>
      <w:numFmt w:val="bullet"/>
      <w:lvlText w:val="–"/>
      <w:lvlJc w:val="left"/>
      <w:pPr>
        <w:tabs>
          <w:tab w:val="num" w:pos="4320"/>
        </w:tabs>
        <w:ind w:left="4320" w:hanging="360"/>
      </w:pPr>
      <w:rPr>
        <w:rFonts w:ascii="Arial" w:hAnsi="Arial" w:hint="default"/>
      </w:rPr>
    </w:lvl>
    <w:lvl w:ilvl="6" w:tplc="785E409E" w:tentative="1">
      <w:start w:val="1"/>
      <w:numFmt w:val="bullet"/>
      <w:lvlText w:val="–"/>
      <w:lvlJc w:val="left"/>
      <w:pPr>
        <w:tabs>
          <w:tab w:val="num" w:pos="5040"/>
        </w:tabs>
        <w:ind w:left="5040" w:hanging="360"/>
      </w:pPr>
      <w:rPr>
        <w:rFonts w:ascii="Arial" w:hAnsi="Arial" w:hint="default"/>
      </w:rPr>
    </w:lvl>
    <w:lvl w:ilvl="7" w:tplc="5B9CD83E" w:tentative="1">
      <w:start w:val="1"/>
      <w:numFmt w:val="bullet"/>
      <w:lvlText w:val="–"/>
      <w:lvlJc w:val="left"/>
      <w:pPr>
        <w:tabs>
          <w:tab w:val="num" w:pos="5760"/>
        </w:tabs>
        <w:ind w:left="5760" w:hanging="360"/>
      </w:pPr>
      <w:rPr>
        <w:rFonts w:ascii="Arial" w:hAnsi="Arial" w:hint="default"/>
      </w:rPr>
    </w:lvl>
    <w:lvl w:ilvl="8" w:tplc="7F30E3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4C"/>
    <w:rsid w:val="00020FEE"/>
    <w:rsid w:val="0003202D"/>
    <w:rsid w:val="0003485B"/>
    <w:rsid w:val="000523F5"/>
    <w:rsid w:val="00065B02"/>
    <w:rsid w:val="000779A5"/>
    <w:rsid w:val="00096913"/>
    <w:rsid w:val="000A68C0"/>
    <w:rsid w:val="000A6B60"/>
    <w:rsid w:val="000B0ADB"/>
    <w:rsid w:val="000B55AC"/>
    <w:rsid w:val="000C660E"/>
    <w:rsid w:val="000C73DC"/>
    <w:rsid w:val="000D089E"/>
    <w:rsid w:val="000D4BA8"/>
    <w:rsid w:val="000E1427"/>
    <w:rsid w:val="000E3793"/>
    <w:rsid w:val="000F3048"/>
    <w:rsid w:val="00102E70"/>
    <w:rsid w:val="00124EF7"/>
    <w:rsid w:val="00141E13"/>
    <w:rsid w:val="001466AC"/>
    <w:rsid w:val="0015152E"/>
    <w:rsid w:val="00172D84"/>
    <w:rsid w:val="001737C5"/>
    <w:rsid w:val="00176DA0"/>
    <w:rsid w:val="001863B8"/>
    <w:rsid w:val="00193640"/>
    <w:rsid w:val="00194F71"/>
    <w:rsid w:val="001A464F"/>
    <w:rsid w:val="001C695A"/>
    <w:rsid w:val="001C7B9C"/>
    <w:rsid w:val="001E329B"/>
    <w:rsid w:val="001F766E"/>
    <w:rsid w:val="001F7F41"/>
    <w:rsid w:val="0020686D"/>
    <w:rsid w:val="002114E6"/>
    <w:rsid w:val="002248F3"/>
    <w:rsid w:val="002334D2"/>
    <w:rsid w:val="0023545C"/>
    <w:rsid w:val="00240423"/>
    <w:rsid w:val="002467B9"/>
    <w:rsid w:val="0026384B"/>
    <w:rsid w:val="002654D3"/>
    <w:rsid w:val="002730CB"/>
    <w:rsid w:val="00273825"/>
    <w:rsid w:val="00277D1A"/>
    <w:rsid w:val="00285DE7"/>
    <w:rsid w:val="002A0CD9"/>
    <w:rsid w:val="002A59C2"/>
    <w:rsid w:val="002A7353"/>
    <w:rsid w:val="002A7B9D"/>
    <w:rsid w:val="002C49E2"/>
    <w:rsid w:val="002D19D6"/>
    <w:rsid w:val="002D1F9F"/>
    <w:rsid w:val="002D5A5D"/>
    <w:rsid w:val="00301276"/>
    <w:rsid w:val="003024C6"/>
    <w:rsid w:val="00313880"/>
    <w:rsid w:val="0031714E"/>
    <w:rsid w:val="00327A46"/>
    <w:rsid w:val="00340817"/>
    <w:rsid w:val="00344938"/>
    <w:rsid w:val="00353B80"/>
    <w:rsid w:val="00355623"/>
    <w:rsid w:val="00361E27"/>
    <w:rsid w:val="00382FED"/>
    <w:rsid w:val="00392714"/>
    <w:rsid w:val="00395FA0"/>
    <w:rsid w:val="003B4986"/>
    <w:rsid w:val="003B607A"/>
    <w:rsid w:val="003C318C"/>
    <w:rsid w:val="003C53D5"/>
    <w:rsid w:val="003D21DD"/>
    <w:rsid w:val="003F462F"/>
    <w:rsid w:val="004000F3"/>
    <w:rsid w:val="0040449F"/>
    <w:rsid w:val="00407222"/>
    <w:rsid w:val="00416DC5"/>
    <w:rsid w:val="004217FA"/>
    <w:rsid w:val="0042656D"/>
    <w:rsid w:val="004459B5"/>
    <w:rsid w:val="0046051B"/>
    <w:rsid w:val="004646C9"/>
    <w:rsid w:val="00482C21"/>
    <w:rsid w:val="00487282"/>
    <w:rsid w:val="004973BE"/>
    <w:rsid w:val="004A2477"/>
    <w:rsid w:val="004A59F0"/>
    <w:rsid w:val="004B327C"/>
    <w:rsid w:val="004C1F42"/>
    <w:rsid w:val="004C4C4E"/>
    <w:rsid w:val="004C68E0"/>
    <w:rsid w:val="004C7370"/>
    <w:rsid w:val="004D0030"/>
    <w:rsid w:val="004D570A"/>
    <w:rsid w:val="004D6B18"/>
    <w:rsid w:val="004D79D5"/>
    <w:rsid w:val="004E6E83"/>
    <w:rsid w:val="00511389"/>
    <w:rsid w:val="0051293E"/>
    <w:rsid w:val="0051298B"/>
    <w:rsid w:val="00517BAA"/>
    <w:rsid w:val="005220C4"/>
    <w:rsid w:val="00531FF7"/>
    <w:rsid w:val="00536A44"/>
    <w:rsid w:val="00546825"/>
    <w:rsid w:val="005625BC"/>
    <w:rsid w:val="00562889"/>
    <w:rsid w:val="00587A89"/>
    <w:rsid w:val="00587D51"/>
    <w:rsid w:val="00594D3D"/>
    <w:rsid w:val="005A2D47"/>
    <w:rsid w:val="005B2BDC"/>
    <w:rsid w:val="005D14B6"/>
    <w:rsid w:val="005D6114"/>
    <w:rsid w:val="005D6E42"/>
    <w:rsid w:val="005D7206"/>
    <w:rsid w:val="005F0B48"/>
    <w:rsid w:val="006151FC"/>
    <w:rsid w:val="006456B1"/>
    <w:rsid w:val="00645737"/>
    <w:rsid w:val="0065204D"/>
    <w:rsid w:val="00654B64"/>
    <w:rsid w:val="006649E5"/>
    <w:rsid w:val="006678F6"/>
    <w:rsid w:val="00670BD8"/>
    <w:rsid w:val="006A01B3"/>
    <w:rsid w:val="006A30E5"/>
    <w:rsid w:val="006A31D0"/>
    <w:rsid w:val="006B2B76"/>
    <w:rsid w:val="006B70B2"/>
    <w:rsid w:val="006C569C"/>
    <w:rsid w:val="006D4AF5"/>
    <w:rsid w:val="006D4DC4"/>
    <w:rsid w:val="006D7DCC"/>
    <w:rsid w:val="006E1CC9"/>
    <w:rsid w:val="006F405A"/>
    <w:rsid w:val="0070060D"/>
    <w:rsid w:val="00702AFC"/>
    <w:rsid w:val="007110AC"/>
    <w:rsid w:val="007139CF"/>
    <w:rsid w:val="00717C9C"/>
    <w:rsid w:val="0072277B"/>
    <w:rsid w:val="007235A1"/>
    <w:rsid w:val="00725476"/>
    <w:rsid w:val="00736A0B"/>
    <w:rsid w:val="007554DF"/>
    <w:rsid w:val="00783E4C"/>
    <w:rsid w:val="007843CB"/>
    <w:rsid w:val="00787B84"/>
    <w:rsid w:val="007A7B18"/>
    <w:rsid w:val="007B1DB2"/>
    <w:rsid w:val="007B2C96"/>
    <w:rsid w:val="007B5991"/>
    <w:rsid w:val="007D4B69"/>
    <w:rsid w:val="007D691D"/>
    <w:rsid w:val="007D74DA"/>
    <w:rsid w:val="007E1C23"/>
    <w:rsid w:val="007E50F4"/>
    <w:rsid w:val="007F1C2A"/>
    <w:rsid w:val="008158E0"/>
    <w:rsid w:val="008235DE"/>
    <w:rsid w:val="00825396"/>
    <w:rsid w:val="00831198"/>
    <w:rsid w:val="00832CBE"/>
    <w:rsid w:val="00843F97"/>
    <w:rsid w:val="00856054"/>
    <w:rsid w:val="00856BF7"/>
    <w:rsid w:val="00881653"/>
    <w:rsid w:val="00885541"/>
    <w:rsid w:val="00893380"/>
    <w:rsid w:val="008A2B6B"/>
    <w:rsid w:val="008A766D"/>
    <w:rsid w:val="008B7FA7"/>
    <w:rsid w:val="008D07B1"/>
    <w:rsid w:val="008D07FD"/>
    <w:rsid w:val="008F3BC9"/>
    <w:rsid w:val="008F606B"/>
    <w:rsid w:val="009004DA"/>
    <w:rsid w:val="00912B53"/>
    <w:rsid w:val="00913E96"/>
    <w:rsid w:val="00914B13"/>
    <w:rsid w:val="009158FF"/>
    <w:rsid w:val="00922EF4"/>
    <w:rsid w:val="00923656"/>
    <w:rsid w:val="00925714"/>
    <w:rsid w:val="00926C29"/>
    <w:rsid w:val="00935D0D"/>
    <w:rsid w:val="00936CAF"/>
    <w:rsid w:val="009453A4"/>
    <w:rsid w:val="00946341"/>
    <w:rsid w:val="009610BC"/>
    <w:rsid w:val="0098047C"/>
    <w:rsid w:val="00983661"/>
    <w:rsid w:val="009937FB"/>
    <w:rsid w:val="009A36DD"/>
    <w:rsid w:val="009B2DE1"/>
    <w:rsid w:val="009B69A5"/>
    <w:rsid w:val="009B70BD"/>
    <w:rsid w:val="009C6FF6"/>
    <w:rsid w:val="009D7E37"/>
    <w:rsid w:val="009E0381"/>
    <w:rsid w:val="009E0F04"/>
    <w:rsid w:val="009F74CD"/>
    <w:rsid w:val="00A01F85"/>
    <w:rsid w:val="00A032DE"/>
    <w:rsid w:val="00A03F7A"/>
    <w:rsid w:val="00A12FEB"/>
    <w:rsid w:val="00A13376"/>
    <w:rsid w:val="00A367A8"/>
    <w:rsid w:val="00A52A0C"/>
    <w:rsid w:val="00A54E4B"/>
    <w:rsid w:val="00A61342"/>
    <w:rsid w:val="00A61C8B"/>
    <w:rsid w:val="00A63A14"/>
    <w:rsid w:val="00A64B39"/>
    <w:rsid w:val="00A7126A"/>
    <w:rsid w:val="00A71D6A"/>
    <w:rsid w:val="00A73D29"/>
    <w:rsid w:val="00AA48CA"/>
    <w:rsid w:val="00AA6626"/>
    <w:rsid w:val="00AB0DBB"/>
    <w:rsid w:val="00AD7445"/>
    <w:rsid w:val="00AE3645"/>
    <w:rsid w:val="00AE38EE"/>
    <w:rsid w:val="00AF1D4E"/>
    <w:rsid w:val="00B0567E"/>
    <w:rsid w:val="00B201AE"/>
    <w:rsid w:val="00B26C0C"/>
    <w:rsid w:val="00B26C23"/>
    <w:rsid w:val="00B370FC"/>
    <w:rsid w:val="00B409FE"/>
    <w:rsid w:val="00B64FA6"/>
    <w:rsid w:val="00B85802"/>
    <w:rsid w:val="00B93682"/>
    <w:rsid w:val="00BB6A86"/>
    <w:rsid w:val="00BB7B1E"/>
    <w:rsid w:val="00BC1646"/>
    <w:rsid w:val="00BD7130"/>
    <w:rsid w:val="00BE4E30"/>
    <w:rsid w:val="00C06E6D"/>
    <w:rsid w:val="00C11C11"/>
    <w:rsid w:val="00C11C47"/>
    <w:rsid w:val="00C25664"/>
    <w:rsid w:val="00C32E01"/>
    <w:rsid w:val="00C3531C"/>
    <w:rsid w:val="00C3603F"/>
    <w:rsid w:val="00C37439"/>
    <w:rsid w:val="00C427E1"/>
    <w:rsid w:val="00C42CAC"/>
    <w:rsid w:val="00C438B9"/>
    <w:rsid w:val="00C51989"/>
    <w:rsid w:val="00C571B7"/>
    <w:rsid w:val="00C6045A"/>
    <w:rsid w:val="00C61A9C"/>
    <w:rsid w:val="00C62315"/>
    <w:rsid w:val="00C63634"/>
    <w:rsid w:val="00C73BD4"/>
    <w:rsid w:val="00C74349"/>
    <w:rsid w:val="00C7697C"/>
    <w:rsid w:val="00C823AB"/>
    <w:rsid w:val="00C82B2C"/>
    <w:rsid w:val="00C849D2"/>
    <w:rsid w:val="00C875C3"/>
    <w:rsid w:val="00C91C60"/>
    <w:rsid w:val="00CA1FF9"/>
    <w:rsid w:val="00CB5DF7"/>
    <w:rsid w:val="00CC0DDC"/>
    <w:rsid w:val="00CC6716"/>
    <w:rsid w:val="00CF5C36"/>
    <w:rsid w:val="00D05AD7"/>
    <w:rsid w:val="00D236F2"/>
    <w:rsid w:val="00D237D2"/>
    <w:rsid w:val="00D36BA6"/>
    <w:rsid w:val="00D405E6"/>
    <w:rsid w:val="00D40BC5"/>
    <w:rsid w:val="00D47BF7"/>
    <w:rsid w:val="00D52C52"/>
    <w:rsid w:val="00D606DA"/>
    <w:rsid w:val="00D65FF1"/>
    <w:rsid w:val="00D667E2"/>
    <w:rsid w:val="00D877AE"/>
    <w:rsid w:val="00D947C4"/>
    <w:rsid w:val="00DA07F8"/>
    <w:rsid w:val="00DA60E1"/>
    <w:rsid w:val="00DA709E"/>
    <w:rsid w:val="00DB76FB"/>
    <w:rsid w:val="00DC69FB"/>
    <w:rsid w:val="00DC7ACD"/>
    <w:rsid w:val="00DD19B0"/>
    <w:rsid w:val="00DE00FE"/>
    <w:rsid w:val="00DE33DD"/>
    <w:rsid w:val="00DE4355"/>
    <w:rsid w:val="00E1672B"/>
    <w:rsid w:val="00E17931"/>
    <w:rsid w:val="00E2295E"/>
    <w:rsid w:val="00E44D80"/>
    <w:rsid w:val="00E47C5E"/>
    <w:rsid w:val="00E5565D"/>
    <w:rsid w:val="00E60AF3"/>
    <w:rsid w:val="00E72D88"/>
    <w:rsid w:val="00E843B6"/>
    <w:rsid w:val="00E91294"/>
    <w:rsid w:val="00EC02C1"/>
    <w:rsid w:val="00ED5BA3"/>
    <w:rsid w:val="00ED5D92"/>
    <w:rsid w:val="00ED5EE1"/>
    <w:rsid w:val="00EE14B9"/>
    <w:rsid w:val="00EF3FA2"/>
    <w:rsid w:val="00EF763F"/>
    <w:rsid w:val="00F01333"/>
    <w:rsid w:val="00F06442"/>
    <w:rsid w:val="00F30D93"/>
    <w:rsid w:val="00F564EA"/>
    <w:rsid w:val="00F5726D"/>
    <w:rsid w:val="00F6602F"/>
    <w:rsid w:val="00F854FA"/>
    <w:rsid w:val="00F8575C"/>
    <w:rsid w:val="00F864F8"/>
    <w:rsid w:val="00F94A37"/>
    <w:rsid w:val="00F955E6"/>
    <w:rsid w:val="00FA292D"/>
    <w:rsid w:val="00FB5B0A"/>
    <w:rsid w:val="00FB6826"/>
    <w:rsid w:val="00FC2D56"/>
    <w:rsid w:val="00FC3FDE"/>
    <w:rsid w:val="00FD0EFC"/>
    <w:rsid w:val="00FD2A45"/>
    <w:rsid w:val="00FD36D6"/>
    <w:rsid w:val="00FD454B"/>
    <w:rsid w:val="00FD4EA3"/>
    <w:rsid w:val="00FD7596"/>
    <w:rsid w:val="00FE05C1"/>
    <w:rsid w:val="00FE0DB7"/>
    <w:rsid w:val="00FE4D22"/>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626E"/>
  <w15:docId w15:val="{910A647D-2F4E-FB41-9FCB-D0CE5991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6DA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056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3531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0E3793"/>
    <w:rPr>
      <w:color w:val="0563C1" w:themeColor="hyperlink"/>
      <w:u w:val="single"/>
    </w:rPr>
  </w:style>
  <w:style w:type="character" w:customStyle="1" w:styleId="UnresolvedMention1">
    <w:name w:val="Unresolved Mention1"/>
    <w:basedOn w:val="DefaultParagraphFont"/>
    <w:uiPriority w:val="99"/>
    <w:semiHidden/>
    <w:unhideWhenUsed/>
    <w:rsid w:val="002D1F9F"/>
    <w:rPr>
      <w:color w:val="605E5C"/>
      <w:shd w:val="clear" w:color="auto" w:fill="E1DFDD"/>
    </w:rPr>
  </w:style>
  <w:style w:type="character" w:styleId="FollowedHyperlink">
    <w:name w:val="FollowedHyperlink"/>
    <w:basedOn w:val="DefaultParagraphFont"/>
    <w:uiPriority w:val="99"/>
    <w:semiHidden/>
    <w:unhideWhenUsed/>
    <w:rsid w:val="00C82B2C"/>
    <w:rPr>
      <w:color w:val="954F72" w:themeColor="followedHyperlink"/>
      <w:u w:val="single"/>
    </w:rPr>
  </w:style>
  <w:style w:type="character" w:customStyle="1" w:styleId="Heading1Char">
    <w:name w:val="Heading 1 Char"/>
    <w:basedOn w:val="DefaultParagraphFont"/>
    <w:link w:val="Heading1"/>
    <w:uiPriority w:val="9"/>
    <w:rsid w:val="00176D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567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92714"/>
    <w:pPr>
      <w:spacing w:before="100" w:beforeAutospacing="1" w:after="100" w:afterAutospacing="1"/>
    </w:pPr>
    <w:rPr>
      <w:rFonts w:ascii="Times New Roman" w:eastAsia="Times New Roman" w:hAnsi="Times New Roman" w:cs="Times New Roman"/>
    </w:rPr>
  </w:style>
  <w:style w:type="character" w:customStyle="1" w:styleId="title-text">
    <w:name w:val="title-text"/>
    <w:basedOn w:val="DefaultParagraphFont"/>
    <w:rsid w:val="00020FEE"/>
  </w:style>
  <w:style w:type="character" w:customStyle="1" w:styleId="gn">
    <w:name w:val="gn"/>
    <w:basedOn w:val="DefaultParagraphFont"/>
    <w:rsid w:val="0070060D"/>
  </w:style>
  <w:style w:type="character" w:customStyle="1" w:styleId="apple-converted-space">
    <w:name w:val="apple-converted-space"/>
    <w:basedOn w:val="DefaultParagraphFont"/>
    <w:rsid w:val="0070060D"/>
  </w:style>
  <w:style w:type="character" w:styleId="Emphasis">
    <w:name w:val="Emphasis"/>
    <w:basedOn w:val="DefaultParagraphFont"/>
    <w:uiPriority w:val="20"/>
    <w:qFormat/>
    <w:rsid w:val="0070060D"/>
    <w:rPr>
      <w:i/>
      <w:iCs/>
    </w:rPr>
  </w:style>
  <w:style w:type="character" w:customStyle="1" w:styleId="Title1">
    <w:name w:val="Title1"/>
    <w:basedOn w:val="DefaultParagraphFont"/>
    <w:rsid w:val="00670BD8"/>
  </w:style>
  <w:style w:type="character" w:styleId="CommentReference">
    <w:name w:val="annotation reference"/>
    <w:basedOn w:val="DefaultParagraphFont"/>
    <w:uiPriority w:val="99"/>
    <w:semiHidden/>
    <w:unhideWhenUsed/>
    <w:rsid w:val="00856054"/>
    <w:rPr>
      <w:sz w:val="16"/>
      <w:szCs w:val="16"/>
    </w:rPr>
  </w:style>
  <w:style w:type="paragraph" w:styleId="CommentText">
    <w:name w:val="annotation text"/>
    <w:basedOn w:val="Normal"/>
    <w:link w:val="CommentTextChar"/>
    <w:uiPriority w:val="99"/>
    <w:semiHidden/>
    <w:unhideWhenUsed/>
    <w:rsid w:val="00856054"/>
    <w:rPr>
      <w:sz w:val="20"/>
      <w:szCs w:val="20"/>
    </w:rPr>
  </w:style>
  <w:style w:type="character" w:customStyle="1" w:styleId="CommentTextChar">
    <w:name w:val="Comment Text Char"/>
    <w:basedOn w:val="DefaultParagraphFont"/>
    <w:link w:val="CommentText"/>
    <w:uiPriority w:val="99"/>
    <w:semiHidden/>
    <w:rsid w:val="00856054"/>
    <w:rPr>
      <w:sz w:val="20"/>
      <w:szCs w:val="20"/>
    </w:rPr>
  </w:style>
  <w:style w:type="paragraph" w:styleId="CommentSubject">
    <w:name w:val="annotation subject"/>
    <w:basedOn w:val="CommentText"/>
    <w:next w:val="CommentText"/>
    <w:link w:val="CommentSubjectChar"/>
    <w:uiPriority w:val="99"/>
    <w:semiHidden/>
    <w:unhideWhenUsed/>
    <w:rsid w:val="00856054"/>
    <w:rPr>
      <w:b/>
      <w:bCs/>
    </w:rPr>
  </w:style>
  <w:style w:type="character" w:customStyle="1" w:styleId="CommentSubjectChar">
    <w:name w:val="Comment Subject Char"/>
    <w:basedOn w:val="CommentTextChar"/>
    <w:link w:val="CommentSubject"/>
    <w:uiPriority w:val="99"/>
    <w:semiHidden/>
    <w:rsid w:val="00856054"/>
    <w:rPr>
      <w:b/>
      <w:bCs/>
      <w:sz w:val="20"/>
      <w:szCs w:val="20"/>
    </w:rPr>
  </w:style>
  <w:style w:type="paragraph" w:styleId="BalloonText">
    <w:name w:val="Balloon Text"/>
    <w:basedOn w:val="Normal"/>
    <w:link w:val="BalloonTextChar"/>
    <w:uiPriority w:val="99"/>
    <w:semiHidden/>
    <w:unhideWhenUsed/>
    <w:rsid w:val="008560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054"/>
    <w:rPr>
      <w:rFonts w:ascii="Segoe UI" w:hAnsi="Segoe UI" w:cs="Segoe UI"/>
      <w:sz w:val="18"/>
      <w:szCs w:val="18"/>
    </w:rPr>
  </w:style>
  <w:style w:type="paragraph" w:styleId="Revision">
    <w:name w:val="Revision"/>
    <w:hidden/>
    <w:uiPriority w:val="99"/>
    <w:semiHidden/>
    <w:rsid w:val="00A54E4B"/>
  </w:style>
  <w:style w:type="character" w:customStyle="1" w:styleId="UnresolvedMention2">
    <w:name w:val="Unresolved Mention2"/>
    <w:basedOn w:val="DefaultParagraphFont"/>
    <w:uiPriority w:val="99"/>
    <w:semiHidden/>
    <w:unhideWhenUsed/>
    <w:rsid w:val="0017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7698">
      <w:bodyDiv w:val="1"/>
      <w:marLeft w:val="0"/>
      <w:marRight w:val="0"/>
      <w:marTop w:val="0"/>
      <w:marBottom w:val="0"/>
      <w:divBdr>
        <w:top w:val="none" w:sz="0" w:space="0" w:color="auto"/>
        <w:left w:val="none" w:sz="0" w:space="0" w:color="auto"/>
        <w:bottom w:val="none" w:sz="0" w:space="0" w:color="auto"/>
        <w:right w:val="none" w:sz="0" w:space="0" w:color="auto"/>
      </w:divBdr>
    </w:div>
    <w:div w:id="93331571">
      <w:bodyDiv w:val="1"/>
      <w:marLeft w:val="0"/>
      <w:marRight w:val="0"/>
      <w:marTop w:val="0"/>
      <w:marBottom w:val="0"/>
      <w:divBdr>
        <w:top w:val="none" w:sz="0" w:space="0" w:color="auto"/>
        <w:left w:val="none" w:sz="0" w:space="0" w:color="auto"/>
        <w:bottom w:val="none" w:sz="0" w:space="0" w:color="auto"/>
        <w:right w:val="none" w:sz="0" w:space="0" w:color="auto"/>
      </w:divBdr>
    </w:div>
    <w:div w:id="111756010">
      <w:bodyDiv w:val="1"/>
      <w:marLeft w:val="0"/>
      <w:marRight w:val="0"/>
      <w:marTop w:val="0"/>
      <w:marBottom w:val="0"/>
      <w:divBdr>
        <w:top w:val="none" w:sz="0" w:space="0" w:color="auto"/>
        <w:left w:val="none" w:sz="0" w:space="0" w:color="auto"/>
        <w:bottom w:val="none" w:sz="0" w:space="0" w:color="auto"/>
        <w:right w:val="none" w:sz="0" w:space="0" w:color="auto"/>
      </w:divBdr>
    </w:div>
    <w:div w:id="113016563">
      <w:bodyDiv w:val="1"/>
      <w:marLeft w:val="0"/>
      <w:marRight w:val="0"/>
      <w:marTop w:val="0"/>
      <w:marBottom w:val="0"/>
      <w:divBdr>
        <w:top w:val="none" w:sz="0" w:space="0" w:color="auto"/>
        <w:left w:val="none" w:sz="0" w:space="0" w:color="auto"/>
        <w:bottom w:val="none" w:sz="0" w:space="0" w:color="auto"/>
        <w:right w:val="none" w:sz="0" w:space="0" w:color="auto"/>
      </w:divBdr>
    </w:div>
    <w:div w:id="115755854">
      <w:bodyDiv w:val="1"/>
      <w:marLeft w:val="0"/>
      <w:marRight w:val="0"/>
      <w:marTop w:val="0"/>
      <w:marBottom w:val="0"/>
      <w:divBdr>
        <w:top w:val="none" w:sz="0" w:space="0" w:color="auto"/>
        <w:left w:val="none" w:sz="0" w:space="0" w:color="auto"/>
        <w:bottom w:val="none" w:sz="0" w:space="0" w:color="auto"/>
        <w:right w:val="none" w:sz="0" w:space="0" w:color="auto"/>
      </w:divBdr>
    </w:div>
    <w:div w:id="120073422">
      <w:bodyDiv w:val="1"/>
      <w:marLeft w:val="0"/>
      <w:marRight w:val="0"/>
      <w:marTop w:val="0"/>
      <w:marBottom w:val="0"/>
      <w:divBdr>
        <w:top w:val="none" w:sz="0" w:space="0" w:color="auto"/>
        <w:left w:val="none" w:sz="0" w:space="0" w:color="auto"/>
        <w:bottom w:val="none" w:sz="0" w:space="0" w:color="auto"/>
        <w:right w:val="none" w:sz="0" w:space="0" w:color="auto"/>
      </w:divBdr>
    </w:div>
    <w:div w:id="140462848">
      <w:bodyDiv w:val="1"/>
      <w:marLeft w:val="0"/>
      <w:marRight w:val="0"/>
      <w:marTop w:val="0"/>
      <w:marBottom w:val="0"/>
      <w:divBdr>
        <w:top w:val="none" w:sz="0" w:space="0" w:color="auto"/>
        <w:left w:val="none" w:sz="0" w:space="0" w:color="auto"/>
        <w:bottom w:val="none" w:sz="0" w:space="0" w:color="auto"/>
        <w:right w:val="none" w:sz="0" w:space="0" w:color="auto"/>
      </w:divBdr>
    </w:div>
    <w:div w:id="179665094">
      <w:bodyDiv w:val="1"/>
      <w:marLeft w:val="0"/>
      <w:marRight w:val="0"/>
      <w:marTop w:val="0"/>
      <w:marBottom w:val="0"/>
      <w:divBdr>
        <w:top w:val="none" w:sz="0" w:space="0" w:color="auto"/>
        <w:left w:val="none" w:sz="0" w:space="0" w:color="auto"/>
        <w:bottom w:val="none" w:sz="0" w:space="0" w:color="auto"/>
        <w:right w:val="none" w:sz="0" w:space="0" w:color="auto"/>
      </w:divBdr>
    </w:div>
    <w:div w:id="222520893">
      <w:bodyDiv w:val="1"/>
      <w:marLeft w:val="0"/>
      <w:marRight w:val="0"/>
      <w:marTop w:val="0"/>
      <w:marBottom w:val="0"/>
      <w:divBdr>
        <w:top w:val="none" w:sz="0" w:space="0" w:color="auto"/>
        <w:left w:val="none" w:sz="0" w:space="0" w:color="auto"/>
        <w:bottom w:val="none" w:sz="0" w:space="0" w:color="auto"/>
        <w:right w:val="none" w:sz="0" w:space="0" w:color="auto"/>
      </w:divBdr>
    </w:div>
    <w:div w:id="257712754">
      <w:bodyDiv w:val="1"/>
      <w:marLeft w:val="0"/>
      <w:marRight w:val="0"/>
      <w:marTop w:val="0"/>
      <w:marBottom w:val="0"/>
      <w:divBdr>
        <w:top w:val="none" w:sz="0" w:space="0" w:color="auto"/>
        <w:left w:val="none" w:sz="0" w:space="0" w:color="auto"/>
        <w:bottom w:val="none" w:sz="0" w:space="0" w:color="auto"/>
        <w:right w:val="none" w:sz="0" w:space="0" w:color="auto"/>
      </w:divBdr>
    </w:div>
    <w:div w:id="266039337">
      <w:bodyDiv w:val="1"/>
      <w:marLeft w:val="0"/>
      <w:marRight w:val="0"/>
      <w:marTop w:val="0"/>
      <w:marBottom w:val="0"/>
      <w:divBdr>
        <w:top w:val="none" w:sz="0" w:space="0" w:color="auto"/>
        <w:left w:val="none" w:sz="0" w:space="0" w:color="auto"/>
        <w:bottom w:val="none" w:sz="0" w:space="0" w:color="auto"/>
        <w:right w:val="none" w:sz="0" w:space="0" w:color="auto"/>
      </w:divBdr>
    </w:div>
    <w:div w:id="279188282">
      <w:bodyDiv w:val="1"/>
      <w:marLeft w:val="0"/>
      <w:marRight w:val="0"/>
      <w:marTop w:val="0"/>
      <w:marBottom w:val="0"/>
      <w:divBdr>
        <w:top w:val="none" w:sz="0" w:space="0" w:color="auto"/>
        <w:left w:val="none" w:sz="0" w:space="0" w:color="auto"/>
        <w:bottom w:val="none" w:sz="0" w:space="0" w:color="auto"/>
        <w:right w:val="none" w:sz="0" w:space="0" w:color="auto"/>
      </w:divBdr>
    </w:div>
    <w:div w:id="292558805">
      <w:bodyDiv w:val="1"/>
      <w:marLeft w:val="0"/>
      <w:marRight w:val="0"/>
      <w:marTop w:val="0"/>
      <w:marBottom w:val="0"/>
      <w:divBdr>
        <w:top w:val="none" w:sz="0" w:space="0" w:color="auto"/>
        <w:left w:val="none" w:sz="0" w:space="0" w:color="auto"/>
        <w:bottom w:val="none" w:sz="0" w:space="0" w:color="auto"/>
        <w:right w:val="none" w:sz="0" w:space="0" w:color="auto"/>
      </w:divBdr>
    </w:div>
    <w:div w:id="311174533">
      <w:bodyDiv w:val="1"/>
      <w:marLeft w:val="0"/>
      <w:marRight w:val="0"/>
      <w:marTop w:val="0"/>
      <w:marBottom w:val="0"/>
      <w:divBdr>
        <w:top w:val="none" w:sz="0" w:space="0" w:color="auto"/>
        <w:left w:val="none" w:sz="0" w:space="0" w:color="auto"/>
        <w:bottom w:val="none" w:sz="0" w:space="0" w:color="auto"/>
        <w:right w:val="none" w:sz="0" w:space="0" w:color="auto"/>
      </w:divBdr>
    </w:div>
    <w:div w:id="318272366">
      <w:bodyDiv w:val="1"/>
      <w:marLeft w:val="0"/>
      <w:marRight w:val="0"/>
      <w:marTop w:val="0"/>
      <w:marBottom w:val="0"/>
      <w:divBdr>
        <w:top w:val="none" w:sz="0" w:space="0" w:color="auto"/>
        <w:left w:val="none" w:sz="0" w:space="0" w:color="auto"/>
        <w:bottom w:val="none" w:sz="0" w:space="0" w:color="auto"/>
        <w:right w:val="none" w:sz="0" w:space="0" w:color="auto"/>
      </w:divBdr>
    </w:div>
    <w:div w:id="359400690">
      <w:bodyDiv w:val="1"/>
      <w:marLeft w:val="0"/>
      <w:marRight w:val="0"/>
      <w:marTop w:val="0"/>
      <w:marBottom w:val="0"/>
      <w:divBdr>
        <w:top w:val="none" w:sz="0" w:space="0" w:color="auto"/>
        <w:left w:val="none" w:sz="0" w:space="0" w:color="auto"/>
        <w:bottom w:val="none" w:sz="0" w:space="0" w:color="auto"/>
        <w:right w:val="none" w:sz="0" w:space="0" w:color="auto"/>
      </w:divBdr>
    </w:div>
    <w:div w:id="362560315">
      <w:bodyDiv w:val="1"/>
      <w:marLeft w:val="0"/>
      <w:marRight w:val="0"/>
      <w:marTop w:val="0"/>
      <w:marBottom w:val="0"/>
      <w:divBdr>
        <w:top w:val="none" w:sz="0" w:space="0" w:color="auto"/>
        <w:left w:val="none" w:sz="0" w:space="0" w:color="auto"/>
        <w:bottom w:val="none" w:sz="0" w:space="0" w:color="auto"/>
        <w:right w:val="none" w:sz="0" w:space="0" w:color="auto"/>
      </w:divBdr>
    </w:div>
    <w:div w:id="381489040">
      <w:bodyDiv w:val="1"/>
      <w:marLeft w:val="0"/>
      <w:marRight w:val="0"/>
      <w:marTop w:val="0"/>
      <w:marBottom w:val="0"/>
      <w:divBdr>
        <w:top w:val="none" w:sz="0" w:space="0" w:color="auto"/>
        <w:left w:val="none" w:sz="0" w:space="0" w:color="auto"/>
        <w:bottom w:val="none" w:sz="0" w:space="0" w:color="auto"/>
        <w:right w:val="none" w:sz="0" w:space="0" w:color="auto"/>
      </w:divBdr>
    </w:div>
    <w:div w:id="383405366">
      <w:bodyDiv w:val="1"/>
      <w:marLeft w:val="0"/>
      <w:marRight w:val="0"/>
      <w:marTop w:val="0"/>
      <w:marBottom w:val="0"/>
      <w:divBdr>
        <w:top w:val="none" w:sz="0" w:space="0" w:color="auto"/>
        <w:left w:val="none" w:sz="0" w:space="0" w:color="auto"/>
        <w:bottom w:val="none" w:sz="0" w:space="0" w:color="auto"/>
        <w:right w:val="none" w:sz="0" w:space="0" w:color="auto"/>
      </w:divBdr>
      <w:divsChild>
        <w:div w:id="1140539200">
          <w:marLeft w:val="0"/>
          <w:marRight w:val="0"/>
          <w:marTop w:val="0"/>
          <w:marBottom w:val="0"/>
          <w:divBdr>
            <w:top w:val="none" w:sz="0" w:space="0" w:color="auto"/>
            <w:left w:val="none" w:sz="0" w:space="0" w:color="auto"/>
            <w:bottom w:val="none" w:sz="0" w:space="0" w:color="auto"/>
            <w:right w:val="none" w:sz="0" w:space="0" w:color="auto"/>
          </w:divBdr>
        </w:div>
      </w:divsChild>
    </w:div>
    <w:div w:id="400175210">
      <w:bodyDiv w:val="1"/>
      <w:marLeft w:val="0"/>
      <w:marRight w:val="0"/>
      <w:marTop w:val="0"/>
      <w:marBottom w:val="0"/>
      <w:divBdr>
        <w:top w:val="none" w:sz="0" w:space="0" w:color="auto"/>
        <w:left w:val="none" w:sz="0" w:space="0" w:color="auto"/>
        <w:bottom w:val="none" w:sz="0" w:space="0" w:color="auto"/>
        <w:right w:val="none" w:sz="0" w:space="0" w:color="auto"/>
      </w:divBdr>
    </w:div>
    <w:div w:id="405617601">
      <w:bodyDiv w:val="1"/>
      <w:marLeft w:val="0"/>
      <w:marRight w:val="0"/>
      <w:marTop w:val="0"/>
      <w:marBottom w:val="0"/>
      <w:divBdr>
        <w:top w:val="none" w:sz="0" w:space="0" w:color="auto"/>
        <w:left w:val="none" w:sz="0" w:space="0" w:color="auto"/>
        <w:bottom w:val="none" w:sz="0" w:space="0" w:color="auto"/>
        <w:right w:val="none" w:sz="0" w:space="0" w:color="auto"/>
      </w:divBdr>
    </w:div>
    <w:div w:id="421922527">
      <w:bodyDiv w:val="1"/>
      <w:marLeft w:val="0"/>
      <w:marRight w:val="0"/>
      <w:marTop w:val="0"/>
      <w:marBottom w:val="0"/>
      <w:divBdr>
        <w:top w:val="none" w:sz="0" w:space="0" w:color="auto"/>
        <w:left w:val="none" w:sz="0" w:space="0" w:color="auto"/>
        <w:bottom w:val="none" w:sz="0" w:space="0" w:color="auto"/>
        <w:right w:val="none" w:sz="0" w:space="0" w:color="auto"/>
      </w:divBdr>
    </w:div>
    <w:div w:id="439182428">
      <w:bodyDiv w:val="1"/>
      <w:marLeft w:val="0"/>
      <w:marRight w:val="0"/>
      <w:marTop w:val="0"/>
      <w:marBottom w:val="0"/>
      <w:divBdr>
        <w:top w:val="none" w:sz="0" w:space="0" w:color="auto"/>
        <w:left w:val="none" w:sz="0" w:space="0" w:color="auto"/>
        <w:bottom w:val="none" w:sz="0" w:space="0" w:color="auto"/>
        <w:right w:val="none" w:sz="0" w:space="0" w:color="auto"/>
      </w:divBdr>
    </w:div>
    <w:div w:id="460533964">
      <w:bodyDiv w:val="1"/>
      <w:marLeft w:val="0"/>
      <w:marRight w:val="0"/>
      <w:marTop w:val="0"/>
      <w:marBottom w:val="0"/>
      <w:divBdr>
        <w:top w:val="none" w:sz="0" w:space="0" w:color="auto"/>
        <w:left w:val="none" w:sz="0" w:space="0" w:color="auto"/>
        <w:bottom w:val="none" w:sz="0" w:space="0" w:color="auto"/>
        <w:right w:val="none" w:sz="0" w:space="0" w:color="auto"/>
      </w:divBdr>
    </w:div>
    <w:div w:id="574169144">
      <w:bodyDiv w:val="1"/>
      <w:marLeft w:val="0"/>
      <w:marRight w:val="0"/>
      <w:marTop w:val="0"/>
      <w:marBottom w:val="0"/>
      <w:divBdr>
        <w:top w:val="none" w:sz="0" w:space="0" w:color="auto"/>
        <w:left w:val="none" w:sz="0" w:space="0" w:color="auto"/>
        <w:bottom w:val="none" w:sz="0" w:space="0" w:color="auto"/>
        <w:right w:val="none" w:sz="0" w:space="0" w:color="auto"/>
      </w:divBdr>
      <w:divsChild>
        <w:div w:id="2108647218">
          <w:marLeft w:val="0"/>
          <w:marRight w:val="0"/>
          <w:marTop w:val="0"/>
          <w:marBottom w:val="0"/>
          <w:divBdr>
            <w:top w:val="none" w:sz="0" w:space="0" w:color="auto"/>
            <w:left w:val="none" w:sz="0" w:space="0" w:color="auto"/>
            <w:bottom w:val="none" w:sz="0" w:space="0" w:color="auto"/>
            <w:right w:val="none" w:sz="0" w:space="0" w:color="auto"/>
          </w:divBdr>
          <w:divsChild>
            <w:div w:id="333074814">
              <w:marLeft w:val="0"/>
              <w:marRight w:val="0"/>
              <w:marTop w:val="0"/>
              <w:marBottom w:val="0"/>
              <w:divBdr>
                <w:top w:val="none" w:sz="0" w:space="0" w:color="auto"/>
                <w:left w:val="none" w:sz="0" w:space="0" w:color="auto"/>
                <w:bottom w:val="none" w:sz="0" w:space="0" w:color="auto"/>
                <w:right w:val="none" w:sz="0" w:space="0" w:color="auto"/>
              </w:divBdr>
              <w:divsChild>
                <w:div w:id="751194525">
                  <w:marLeft w:val="0"/>
                  <w:marRight w:val="0"/>
                  <w:marTop w:val="0"/>
                  <w:marBottom w:val="0"/>
                  <w:divBdr>
                    <w:top w:val="none" w:sz="0" w:space="0" w:color="auto"/>
                    <w:left w:val="none" w:sz="0" w:space="0" w:color="auto"/>
                    <w:bottom w:val="none" w:sz="0" w:space="0" w:color="auto"/>
                    <w:right w:val="none" w:sz="0" w:space="0" w:color="auto"/>
                  </w:divBdr>
                  <w:divsChild>
                    <w:div w:id="17923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45252">
      <w:bodyDiv w:val="1"/>
      <w:marLeft w:val="0"/>
      <w:marRight w:val="0"/>
      <w:marTop w:val="0"/>
      <w:marBottom w:val="0"/>
      <w:divBdr>
        <w:top w:val="none" w:sz="0" w:space="0" w:color="auto"/>
        <w:left w:val="none" w:sz="0" w:space="0" w:color="auto"/>
        <w:bottom w:val="none" w:sz="0" w:space="0" w:color="auto"/>
        <w:right w:val="none" w:sz="0" w:space="0" w:color="auto"/>
      </w:divBdr>
    </w:div>
    <w:div w:id="591398940">
      <w:bodyDiv w:val="1"/>
      <w:marLeft w:val="0"/>
      <w:marRight w:val="0"/>
      <w:marTop w:val="0"/>
      <w:marBottom w:val="0"/>
      <w:divBdr>
        <w:top w:val="none" w:sz="0" w:space="0" w:color="auto"/>
        <w:left w:val="none" w:sz="0" w:space="0" w:color="auto"/>
        <w:bottom w:val="none" w:sz="0" w:space="0" w:color="auto"/>
        <w:right w:val="none" w:sz="0" w:space="0" w:color="auto"/>
      </w:divBdr>
    </w:div>
    <w:div w:id="610284458">
      <w:bodyDiv w:val="1"/>
      <w:marLeft w:val="0"/>
      <w:marRight w:val="0"/>
      <w:marTop w:val="0"/>
      <w:marBottom w:val="0"/>
      <w:divBdr>
        <w:top w:val="none" w:sz="0" w:space="0" w:color="auto"/>
        <w:left w:val="none" w:sz="0" w:space="0" w:color="auto"/>
        <w:bottom w:val="none" w:sz="0" w:space="0" w:color="auto"/>
        <w:right w:val="none" w:sz="0" w:space="0" w:color="auto"/>
      </w:divBdr>
    </w:div>
    <w:div w:id="616448335">
      <w:bodyDiv w:val="1"/>
      <w:marLeft w:val="0"/>
      <w:marRight w:val="0"/>
      <w:marTop w:val="0"/>
      <w:marBottom w:val="0"/>
      <w:divBdr>
        <w:top w:val="none" w:sz="0" w:space="0" w:color="auto"/>
        <w:left w:val="none" w:sz="0" w:space="0" w:color="auto"/>
        <w:bottom w:val="none" w:sz="0" w:space="0" w:color="auto"/>
        <w:right w:val="none" w:sz="0" w:space="0" w:color="auto"/>
      </w:divBdr>
    </w:div>
    <w:div w:id="616639982">
      <w:bodyDiv w:val="1"/>
      <w:marLeft w:val="0"/>
      <w:marRight w:val="0"/>
      <w:marTop w:val="0"/>
      <w:marBottom w:val="0"/>
      <w:divBdr>
        <w:top w:val="none" w:sz="0" w:space="0" w:color="auto"/>
        <w:left w:val="none" w:sz="0" w:space="0" w:color="auto"/>
        <w:bottom w:val="none" w:sz="0" w:space="0" w:color="auto"/>
        <w:right w:val="none" w:sz="0" w:space="0" w:color="auto"/>
      </w:divBdr>
    </w:div>
    <w:div w:id="637541020">
      <w:bodyDiv w:val="1"/>
      <w:marLeft w:val="0"/>
      <w:marRight w:val="0"/>
      <w:marTop w:val="0"/>
      <w:marBottom w:val="0"/>
      <w:divBdr>
        <w:top w:val="none" w:sz="0" w:space="0" w:color="auto"/>
        <w:left w:val="none" w:sz="0" w:space="0" w:color="auto"/>
        <w:bottom w:val="none" w:sz="0" w:space="0" w:color="auto"/>
        <w:right w:val="none" w:sz="0" w:space="0" w:color="auto"/>
      </w:divBdr>
    </w:div>
    <w:div w:id="648443208">
      <w:bodyDiv w:val="1"/>
      <w:marLeft w:val="0"/>
      <w:marRight w:val="0"/>
      <w:marTop w:val="0"/>
      <w:marBottom w:val="0"/>
      <w:divBdr>
        <w:top w:val="none" w:sz="0" w:space="0" w:color="auto"/>
        <w:left w:val="none" w:sz="0" w:space="0" w:color="auto"/>
        <w:bottom w:val="none" w:sz="0" w:space="0" w:color="auto"/>
        <w:right w:val="none" w:sz="0" w:space="0" w:color="auto"/>
      </w:divBdr>
      <w:divsChild>
        <w:div w:id="2063098317">
          <w:marLeft w:val="0"/>
          <w:marRight w:val="0"/>
          <w:marTop w:val="0"/>
          <w:marBottom w:val="0"/>
          <w:divBdr>
            <w:top w:val="none" w:sz="0" w:space="0" w:color="auto"/>
            <w:left w:val="none" w:sz="0" w:space="0" w:color="auto"/>
            <w:bottom w:val="none" w:sz="0" w:space="0" w:color="auto"/>
            <w:right w:val="none" w:sz="0" w:space="0" w:color="auto"/>
          </w:divBdr>
          <w:divsChild>
            <w:div w:id="747574874">
              <w:marLeft w:val="0"/>
              <w:marRight w:val="0"/>
              <w:marTop w:val="0"/>
              <w:marBottom w:val="0"/>
              <w:divBdr>
                <w:top w:val="none" w:sz="0" w:space="0" w:color="auto"/>
                <w:left w:val="none" w:sz="0" w:space="0" w:color="auto"/>
                <w:bottom w:val="none" w:sz="0" w:space="0" w:color="auto"/>
                <w:right w:val="none" w:sz="0" w:space="0" w:color="auto"/>
              </w:divBdr>
              <w:divsChild>
                <w:div w:id="2675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562539">
      <w:bodyDiv w:val="1"/>
      <w:marLeft w:val="0"/>
      <w:marRight w:val="0"/>
      <w:marTop w:val="0"/>
      <w:marBottom w:val="0"/>
      <w:divBdr>
        <w:top w:val="none" w:sz="0" w:space="0" w:color="auto"/>
        <w:left w:val="none" w:sz="0" w:space="0" w:color="auto"/>
        <w:bottom w:val="none" w:sz="0" w:space="0" w:color="auto"/>
        <w:right w:val="none" w:sz="0" w:space="0" w:color="auto"/>
      </w:divBdr>
    </w:div>
    <w:div w:id="693730606">
      <w:bodyDiv w:val="1"/>
      <w:marLeft w:val="0"/>
      <w:marRight w:val="0"/>
      <w:marTop w:val="0"/>
      <w:marBottom w:val="0"/>
      <w:divBdr>
        <w:top w:val="none" w:sz="0" w:space="0" w:color="auto"/>
        <w:left w:val="none" w:sz="0" w:space="0" w:color="auto"/>
        <w:bottom w:val="none" w:sz="0" w:space="0" w:color="auto"/>
        <w:right w:val="none" w:sz="0" w:space="0" w:color="auto"/>
      </w:divBdr>
    </w:div>
    <w:div w:id="706489495">
      <w:bodyDiv w:val="1"/>
      <w:marLeft w:val="0"/>
      <w:marRight w:val="0"/>
      <w:marTop w:val="0"/>
      <w:marBottom w:val="0"/>
      <w:divBdr>
        <w:top w:val="none" w:sz="0" w:space="0" w:color="auto"/>
        <w:left w:val="none" w:sz="0" w:space="0" w:color="auto"/>
        <w:bottom w:val="none" w:sz="0" w:space="0" w:color="auto"/>
        <w:right w:val="none" w:sz="0" w:space="0" w:color="auto"/>
      </w:divBdr>
    </w:div>
    <w:div w:id="732509548">
      <w:bodyDiv w:val="1"/>
      <w:marLeft w:val="0"/>
      <w:marRight w:val="0"/>
      <w:marTop w:val="0"/>
      <w:marBottom w:val="0"/>
      <w:divBdr>
        <w:top w:val="none" w:sz="0" w:space="0" w:color="auto"/>
        <w:left w:val="none" w:sz="0" w:space="0" w:color="auto"/>
        <w:bottom w:val="none" w:sz="0" w:space="0" w:color="auto"/>
        <w:right w:val="none" w:sz="0" w:space="0" w:color="auto"/>
      </w:divBdr>
    </w:div>
    <w:div w:id="739984328">
      <w:bodyDiv w:val="1"/>
      <w:marLeft w:val="0"/>
      <w:marRight w:val="0"/>
      <w:marTop w:val="0"/>
      <w:marBottom w:val="0"/>
      <w:divBdr>
        <w:top w:val="none" w:sz="0" w:space="0" w:color="auto"/>
        <w:left w:val="none" w:sz="0" w:space="0" w:color="auto"/>
        <w:bottom w:val="none" w:sz="0" w:space="0" w:color="auto"/>
        <w:right w:val="none" w:sz="0" w:space="0" w:color="auto"/>
      </w:divBdr>
    </w:div>
    <w:div w:id="770322525">
      <w:bodyDiv w:val="1"/>
      <w:marLeft w:val="0"/>
      <w:marRight w:val="0"/>
      <w:marTop w:val="0"/>
      <w:marBottom w:val="0"/>
      <w:divBdr>
        <w:top w:val="none" w:sz="0" w:space="0" w:color="auto"/>
        <w:left w:val="none" w:sz="0" w:space="0" w:color="auto"/>
        <w:bottom w:val="none" w:sz="0" w:space="0" w:color="auto"/>
        <w:right w:val="none" w:sz="0" w:space="0" w:color="auto"/>
      </w:divBdr>
    </w:div>
    <w:div w:id="782769476">
      <w:bodyDiv w:val="1"/>
      <w:marLeft w:val="0"/>
      <w:marRight w:val="0"/>
      <w:marTop w:val="0"/>
      <w:marBottom w:val="0"/>
      <w:divBdr>
        <w:top w:val="none" w:sz="0" w:space="0" w:color="auto"/>
        <w:left w:val="none" w:sz="0" w:space="0" w:color="auto"/>
        <w:bottom w:val="none" w:sz="0" w:space="0" w:color="auto"/>
        <w:right w:val="none" w:sz="0" w:space="0" w:color="auto"/>
      </w:divBdr>
    </w:div>
    <w:div w:id="794519487">
      <w:bodyDiv w:val="1"/>
      <w:marLeft w:val="0"/>
      <w:marRight w:val="0"/>
      <w:marTop w:val="0"/>
      <w:marBottom w:val="0"/>
      <w:divBdr>
        <w:top w:val="none" w:sz="0" w:space="0" w:color="auto"/>
        <w:left w:val="none" w:sz="0" w:space="0" w:color="auto"/>
        <w:bottom w:val="none" w:sz="0" w:space="0" w:color="auto"/>
        <w:right w:val="none" w:sz="0" w:space="0" w:color="auto"/>
      </w:divBdr>
    </w:div>
    <w:div w:id="799346703">
      <w:bodyDiv w:val="1"/>
      <w:marLeft w:val="0"/>
      <w:marRight w:val="0"/>
      <w:marTop w:val="0"/>
      <w:marBottom w:val="0"/>
      <w:divBdr>
        <w:top w:val="none" w:sz="0" w:space="0" w:color="auto"/>
        <w:left w:val="none" w:sz="0" w:space="0" w:color="auto"/>
        <w:bottom w:val="none" w:sz="0" w:space="0" w:color="auto"/>
        <w:right w:val="none" w:sz="0" w:space="0" w:color="auto"/>
      </w:divBdr>
    </w:div>
    <w:div w:id="815028544">
      <w:bodyDiv w:val="1"/>
      <w:marLeft w:val="0"/>
      <w:marRight w:val="0"/>
      <w:marTop w:val="0"/>
      <w:marBottom w:val="0"/>
      <w:divBdr>
        <w:top w:val="none" w:sz="0" w:space="0" w:color="auto"/>
        <w:left w:val="none" w:sz="0" w:space="0" w:color="auto"/>
        <w:bottom w:val="none" w:sz="0" w:space="0" w:color="auto"/>
        <w:right w:val="none" w:sz="0" w:space="0" w:color="auto"/>
      </w:divBdr>
    </w:div>
    <w:div w:id="816797521">
      <w:bodyDiv w:val="1"/>
      <w:marLeft w:val="0"/>
      <w:marRight w:val="0"/>
      <w:marTop w:val="0"/>
      <w:marBottom w:val="0"/>
      <w:divBdr>
        <w:top w:val="none" w:sz="0" w:space="0" w:color="auto"/>
        <w:left w:val="none" w:sz="0" w:space="0" w:color="auto"/>
        <w:bottom w:val="none" w:sz="0" w:space="0" w:color="auto"/>
        <w:right w:val="none" w:sz="0" w:space="0" w:color="auto"/>
      </w:divBdr>
      <w:divsChild>
        <w:div w:id="399719810">
          <w:marLeft w:val="1166"/>
          <w:marRight w:val="0"/>
          <w:marTop w:val="0"/>
          <w:marBottom w:val="240"/>
          <w:divBdr>
            <w:top w:val="none" w:sz="0" w:space="0" w:color="auto"/>
            <w:left w:val="none" w:sz="0" w:space="0" w:color="auto"/>
            <w:bottom w:val="none" w:sz="0" w:space="0" w:color="auto"/>
            <w:right w:val="none" w:sz="0" w:space="0" w:color="auto"/>
          </w:divBdr>
        </w:div>
      </w:divsChild>
    </w:div>
    <w:div w:id="822428269">
      <w:bodyDiv w:val="1"/>
      <w:marLeft w:val="0"/>
      <w:marRight w:val="0"/>
      <w:marTop w:val="0"/>
      <w:marBottom w:val="0"/>
      <w:divBdr>
        <w:top w:val="none" w:sz="0" w:space="0" w:color="auto"/>
        <w:left w:val="none" w:sz="0" w:space="0" w:color="auto"/>
        <w:bottom w:val="none" w:sz="0" w:space="0" w:color="auto"/>
        <w:right w:val="none" w:sz="0" w:space="0" w:color="auto"/>
      </w:divBdr>
    </w:div>
    <w:div w:id="835877338">
      <w:bodyDiv w:val="1"/>
      <w:marLeft w:val="0"/>
      <w:marRight w:val="0"/>
      <w:marTop w:val="0"/>
      <w:marBottom w:val="0"/>
      <w:divBdr>
        <w:top w:val="none" w:sz="0" w:space="0" w:color="auto"/>
        <w:left w:val="none" w:sz="0" w:space="0" w:color="auto"/>
        <w:bottom w:val="none" w:sz="0" w:space="0" w:color="auto"/>
        <w:right w:val="none" w:sz="0" w:space="0" w:color="auto"/>
      </w:divBdr>
    </w:div>
    <w:div w:id="838303615">
      <w:bodyDiv w:val="1"/>
      <w:marLeft w:val="0"/>
      <w:marRight w:val="0"/>
      <w:marTop w:val="0"/>
      <w:marBottom w:val="0"/>
      <w:divBdr>
        <w:top w:val="none" w:sz="0" w:space="0" w:color="auto"/>
        <w:left w:val="none" w:sz="0" w:space="0" w:color="auto"/>
        <w:bottom w:val="none" w:sz="0" w:space="0" w:color="auto"/>
        <w:right w:val="none" w:sz="0" w:space="0" w:color="auto"/>
      </w:divBdr>
    </w:div>
    <w:div w:id="840387126">
      <w:bodyDiv w:val="1"/>
      <w:marLeft w:val="0"/>
      <w:marRight w:val="0"/>
      <w:marTop w:val="0"/>
      <w:marBottom w:val="0"/>
      <w:divBdr>
        <w:top w:val="none" w:sz="0" w:space="0" w:color="auto"/>
        <w:left w:val="none" w:sz="0" w:space="0" w:color="auto"/>
        <w:bottom w:val="none" w:sz="0" w:space="0" w:color="auto"/>
        <w:right w:val="none" w:sz="0" w:space="0" w:color="auto"/>
      </w:divBdr>
    </w:div>
    <w:div w:id="857738038">
      <w:bodyDiv w:val="1"/>
      <w:marLeft w:val="0"/>
      <w:marRight w:val="0"/>
      <w:marTop w:val="0"/>
      <w:marBottom w:val="0"/>
      <w:divBdr>
        <w:top w:val="none" w:sz="0" w:space="0" w:color="auto"/>
        <w:left w:val="none" w:sz="0" w:space="0" w:color="auto"/>
        <w:bottom w:val="none" w:sz="0" w:space="0" w:color="auto"/>
        <w:right w:val="none" w:sz="0" w:space="0" w:color="auto"/>
      </w:divBdr>
    </w:div>
    <w:div w:id="873927349">
      <w:bodyDiv w:val="1"/>
      <w:marLeft w:val="0"/>
      <w:marRight w:val="0"/>
      <w:marTop w:val="0"/>
      <w:marBottom w:val="0"/>
      <w:divBdr>
        <w:top w:val="none" w:sz="0" w:space="0" w:color="auto"/>
        <w:left w:val="none" w:sz="0" w:space="0" w:color="auto"/>
        <w:bottom w:val="none" w:sz="0" w:space="0" w:color="auto"/>
        <w:right w:val="none" w:sz="0" w:space="0" w:color="auto"/>
      </w:divBdr>
    </w:div>
    <w:div w:id="893467193">
      <w:bodyDiv w:val="1"/>
      <w:marLeft w:val="0"/>
      <w:marRight w:val="0"/>
      <w:marTop w:val="0"/>
      <w:marBottom w:val="0"/>
      <w:divBdr>
        <w:top w:val="none" w:sz="0" w:space="0" w:color="auto"/>
        <w:left w:val="none" w:sz="0" w:space="0" w:color="auto"/>
        <w:bottom w:val="none" w:sz="0" w:space="0" w:color="auto"/>
        <w:right w:val="none" w:sz="0" w:space="0" w:color="auto"/>
      </w:divBdr>
      <w:divsChild>
        <w:div w:id="475417947">
          <w:marLeft w:val="0"/>
          <w:marRight w:val="0"/>
          <w:marTop w:val="0"/>
          <w:marBottom w:val="0"/>
          <w:divBdr>
            <w:top w:val="none" w:sz="0" w:space="0" w:color="auto"/>
            <w:left w:val="none" w:sz="0" w:space="0" w:color="auto"/>
            <w:bottom w:val="none" w:sz="0" w:space="0" w:color="auto"/>
            <w:right w:val="none" w:sz="0" w:space="0" w:color="auto"/>
          </w:divBdr>
        </w:div>
        <w:div w:id="962226348">
          <w:marLeft w:val="0"/>
          <w:marRight w:val="0"/>
          <w:marTop w:val="0"/>
          <w:marBottom w:val="0"/>
          <w:divBdr>
            <w:top w:val="none" w:sz="0" w:space="0" w:color="auto"/>
            <w:left w:val="none" w:sz="0" w:space="0" w:color="auto"/>
            <w:bottom w:val="none" w:sz="0" w:space="0" w:color="auto"/>
            <w:right w:val="none" w:sz="0" w:space="0" w:color="auto"/>
          </w:divBdr>
        </w:div>
        <w:div w:id="2047753744">
          <w:marLeft w:val="0"/>
          <w:marRight w:val="0"/>
          <w:marTop w:val="0"/>
          <w:marBottom w:val="0"/>
          <w:divBdr>
            <w:top w:val="none" w:sz="0" w:space="0" w:color="auto"/>
            <w:left w:val="none" w:sz="0" w:space="0" w:color="auto"/>
            <w:bottom w:val="none" w:sz="0" w:space="0" w:color="auto"/>
            <w:right w:val="none" w:sz="0" w:space="0" w:color="auto"/>
          </w:divBdr>
          <w:divsChild>
            <w:div w:id="1147625568">
              <w:marLeft w:val="0"/>
              <w:marRight w:val="0"/>
              <w:marTop w:val="0"/>
              <w:marBottom w:val="0"/>
              <w:divBdr>
                <w:top w:val="none" w:sz="0" w:space="0" w:color="auto"/>
                <w:left w:val="none" w:sz="0" w:space="0" w:color="auto"/>
                <w:bottom w:val="none" w:sz="0" w:space="0" w:color="auto"/>
                <w:right w:val="none" w:sz="0" w:space="0" w:color="auto"/>
              </w:divBdr>
            </w:div>
          </w:divsChild>
        </w:div>
        <w:div w:id="1333795715">
          <w:marLeft w:val="0"/>
          <w:marRight w:val="0"/>
          <w:marTop w:val="0"/>
          <w:marBottom w:val="0"/>
          <w:divBdr>
            <w:top w:val="none" w:sz="0" w:space="0" w:color="auto"/>
            <w:left w:val="none" w:sz="0" w:space="0" w:color="auto"/>
            <w:bottom w:val="none" w:sz="0" w:space="0" w:color="auto"/>
            <w:right w:val="none" w:sz="0" w:space="0" w:color="auto"/>
          </w:divBdr>
          <w:divsChild>
            <w:div w:id="1997418499">
              <w:marLeft w:val="0"/>
              <w:marRight w:val="0"/>
              <w:marTop w:val="0"/>
              <w:marBottom w:val="0"/>
              <w:divBdr>
                <w:top w:val="none" w:sz="0" w:space="0" w:color="auto"/>
                <w:left w:val="none" w:sz="0" w:space="0" w:color="auto"/>
                <w:bottom w:val="none" w:sz="0" w:space="0" w:color="auto"/>
                <w:right w:val="none" w:sz="0" w:space="0" w:color="auto"/>
              </w:divBdr>
              <w:divsChild>
                <w:div w:id="1991908427">
                  <w:marLeft w:val="0"/>
                  <w:marRight w:val="0"/>
                  <w:marTop w:val="0"/>
                  <w:marBottom w:val="0"/>
                  <w:divBdr>
                    <w:top w:val="none" w:sz="0" w:space="0" w:color="auto"/>
                    <w:left w:val="none" w:sz="0" w:space="0" w:color="auto"/>
                    <w:bottom w:val="none" w:sz="0" w:space="0" w:color="auto"/>
                    <w:right w:val="none" w:sz="0" w:space="0" w:color="auto"/>
                  </w:divBdr>
                </w:div>
              </w:divsChild>
            </w:div>
            <w:div w:id="173542907">
              <w:marLeft w:val="0"/>
              <w:marRight w:val="0"/>
              <w:marTop w:val="0"/>
              <w:marBottom w:val="0"/>
              <w:divBdr>
                <w:top w:val="none" w:sz="0" w:space="0" w:color="auto"/>
                <w:left w:val="none" w:sz="0" w:space="0" w:color="auto"/>
                <w:bottom w:val="none" w:sz="0" w:space="0" w:color="auto"/>
                <w:right w:val="none" w:sz="0" w:space="0" w:color="auto"/>
              </w:divBdr>
            </w:div>
          </w:divsChild>
        </w:div>
        <w:div w:id="1112481348">
          <w:marLeft w:val="0"/>
          <w:marRight w:val="0"/>
          <w:marTop w:val="0"/>
          <w:marBottom w:val="0"/>
          <w:divBdr>
            <w:top w:val="none" w:sz="0" w:space="0" w:color="auto"/>
            <w:left w:val="none" w:sz="0" w:space="0" w:color="auto"/>
            <w:bottom w:val="none" w:sz="0" w:space="0" w:color="auto"/>
            <w:right w:val="none" w:sz="0" w:space="0" w:color="auto"/>
          </w:divBdr>
          <w:divsChild>
            <w:div w:id="1749620976">
              <w:marLeft w:val="0"/>
              <w:marRight w:val="0"/>
              <w:marTop w:val="0"/>
              <w:marBottom w:val="0"/>
              <w:divBdr>
                <w:top w:val="none" w:sz="0" w:space="0" w:color="auto"/>
                <w:left w:val="none" w:sz="0" w:space="0" w:color="auto"/>
                <w:bottom w:val="none" w:sz="0" w:space="0" w:color="auto"/>
                <w:right w:val="none" w:sz="0" w:space="0" w:color="auto"/>
              </w:divBdr>
              <w:divsChild>
                <w:div w:id="2127459012">
                  <w:marLeft w:val="0"/>
                  <w:marRight w:val="0"/>
                  <w:marTop w:val="0"/>
                  <w:marBottom w:val="0"/>
                  <w:divBdr>
                    <w:top w:val="none" w:sz="0" w:space="0" w:color="auto"/>
                    <w:left w:val="none" w:sz="0" w:space="0" w:color="auto"/>
                    <w:bottom w:val="none" w:sz="0" w:space="0" w:color="auto"/>
                    <w:right w:val="none" w:sz="0" w:space="0" w:color="auto"/>
                  </w:divBdr>
                </w:div>
                <w:div w:id="1967858053">
                  <w:marLeft w:val="0"/>
                  <w:marRight w:val="0"/>
                  <w:marTop w:val="0"/>
                  <w:marBottom w:val="0"/>
                  <w:divBdr>
                    <w:top w:val="none" w:sz="0" w:space="0" w:color="auto"/>
                    <w:left w:val="none" w:sz="0" w:space="0" w:color="auto"/>
                    <w:bottom w:val="none" w:sz="0" w:space="0" w:color="auto"/>
                    <w:right w:val="none" w:sz="0" w:space="0" w:color="auto"/>
                  </w:divBdr>
                </w:div>
                <w:div w:id="1979020927">
                  <w:marLeft w:val="0"/>
                  <w:marRight w:val="0"/>
                  <w:marTop w:val="0"/>
                  <w:marBottom w:val="0"/>
                  <w:divBdr>
                    <w:top w:val="none" w:sz="0" w:space="0" w:color="auto"/>
                    <w:left w:val="none" w:sz="0" w:space="0" w:color="auto"/>
                    <w:bottom w:val="none" w:sz="0" w:space="0" w:color="auto"/>
                    <w:right w:val="none" w:sz="0" w:space="0" w:color="auto"/>
                  </w:divBdr>
                </w:div>
                <w:div w:id="614944789">
                  <w:marLeft w:val="0"/>
                  <w:marRight w:val="0"/>
                  <w:marTop w:val="0"/>
                  <w:marBottom w:val="0"/>
                  <w:divBdr>
                    <w:top w:val="none" w:sz="0" w:space="0" w:color="auto"/>
                    <w:left w:val="none" w:sz="0" w:space="0" w:color="auto"/>
                    <w:bottom w:val="none" w:sz="0" w:space="0" w:color="auto"/>
                    <w:right w:val="none" w:sz="0" w:space="0" w:color="auto"/>
                  </w:divBdr>
                </w:div>
              </w:divsChild>
            </w:div>
            <w:div w:id="1877279375">
              <w:marLeft w:val="0"/>
              <w:marRight w:val="0"/>
              <w:marTop w:val="0"/>
              <w:marBottom w:val="0"/>
              <w:divBdr>
                <w:top w:val="none" w:sz="0" w:space="0" w:color="auto"/>
                <w:left w:val="none" w:sz="0" w:space="0" w:color="auto"/>
                <w:bottom w:val="none" w:sz="0" w:space="0" w:color="auto"/>
                <w:right w:val="none" w:sz="0" w:space="0" w:color="auto"/>
              </w:divBdr>
              <w:divsChild>
                <w:div w:id="14609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46620">
      <w:bodyDiv w:val="1"/>
      <w:marLeft w:val="0"/>
      <w:marRight w:val="0"/>
      <w:marTop w:val="0"/>
      <w:marBottom w:val="0"/>
      <w:divBdr>
        <w:top w:val="none" w:sz="0" w:space="0" w:color="auto"/>
        <w:left w:val="none" w:sz="0" w:space="0" w:color="auto"/>
        <w:bottom w:val="none" w:sz="0" w:space="0" w:color="auto"/>
        <w:right w:val="none" w:sz="0" w:space="0" w:color="auto"/>
      </w:divBdr>
    </w:div>
    <w:div w:id="932393531">
      <w:bodyDiv w:val="1"/>
      <w:marLeft w:val="0"/>
      <w:marRight w:val="0"/>
      <w:marTop w:val="0"/>
      <w:marBottom w:val="0"/>
      <w:divBdr>
        <w:top w:val="none" w:sz="0" w:space="0" w:color="auto"/>
        <w:left w:val="none" w:sz="0" w:space="0" w:color="auto"/>
        <w:bottom w:val="none" w:sz="0" w:space="0" w:color="auto"/>
        <w:right w:val="none" w:sz="0" w:space="0" w:color="auto"/>
      </w:divBdr>
    </w:div>
    <w:div w:id="951089684">
      <w:bodyDiv w:val="1"/>
      <w:marLeft w:val="0"/>
      <w:marRight w:val="0"/>
      <w:marTop w:val="0"/>
      <w:marBottom w:val="0"/>
      <w:divBdr>
        <w:top w:val="none" w:sz="0" w:space="0" w:color="auto"/>
        <w:left w:val="none" w:sz="0" w:space="0" w:color="auto"/>
        <w:bottom w:val="none" w:sz="0" w:space="0" w:color="auto"/>
        <w:right w:val="none" w:sz="0" w:space="0" w:color="auto"/>
      </w:divBdr>
    </w:div>
    <w:div w:id="969018712">
      <w:bodyDiv w:val="1"/>
      <w:marLeft w:val="0"/>
      <w:marRight w:val="0"/>
      <w:marTop w:val="0"/>
      <w:marBottom w:val="0"/>
      <w:divBdr>
        <w:top w:val="none" w:sz="0" w:space="0" w:color="auto"/>
        <w:left w:val="none" w:sz="0" w:space="0" w:color="auto"/>
        <w:bottom w:val="none" w:sz="0" w:space="0" w:color="auto"/>
        <w:right w:val="none" w:sz="0" w:space="0" w:color="auto"/>
      </w:divBdr>
      <w:divsChild>
        <w:div w:id="1706783467">
          <w:marLeft w:val="0"/>
          <w:marRight w:val="0"/>
          <w:marTop w:val="0"/>
          <w:marBottom w:val="0"/>
          <w:divBdr>
            <w:top w:val="none" w:sz="0" w:space="0" w:color="auto"/>
            <w:left w:val="none" w:sz="0" w:space="0" w:color="auto"/>
            <w:bottom w:val="none" w:sz="0" w:space="0" w:color="auto"/>
            <w:right w:val="none" w:sz="0" w:space="0" w:color="auto"/>
          </w:divBdr>
        </w:div>
      </w:divsChild>
    </w:div>
    <w:div w:id="977685433">
      <w:bodyDiv w:val="1"/>
      <w:marLeft w:val="0"/>
      <w:marRight w:val="0"/>
      <w:marTop w:val="0"/>
      <w:marBottom w:val="0"/>
      <w:divBdr>
        <w:top w:val="none" w:sz="0" w:space="0" w:color="auto"/>
        <w:left w:val="none" w:sz="0" w:space="0" w:color="auto"/>
        <w:bottom w:val="none" w:sz="0" w:space="0" w:color="auto"/>
        <w:right w:val="none" w:sz="0" w:space="0" w:color="auto"/>
      </w:divBdr>
    </w:div>
    <w:div w:id="1058359349">
      <w:bodyDiv w:val="1"/>
      <w:marLeft w:val="0"/>
      <w:marRight w:val="0"/>
      <w:marTop w:val="0"/>
      <w:marBottom w:val="0"/>
      <w:divBdr>
        <w:top w:val="none" w:sz="0" w:space="0" w:color="auto"/>
        <w:left w:val="none" w:sz="0" w:space="0" w:color="auto"/>
        <w:bottom w:val="none" w:sz="0" w:space="0" w:color="auto"/>
        <w:right w:val="none" w:sz="0" w:space="0" w:color="auto"/>
      </w:divBdr>
    </w:div>
    <w:div w:id="1085152325">
      <w:bodyDiv w:val="1"/>
      <w:marLeft w:val="0"/>
      <w:marRight w:val="0"/>
      <w:marTop w:val="0"/>
      <w:marBottom w:val="0"/>
      <w:divBdr>
        <w:top w:val="none" w:sz="0" w:space="0" w:color="auto"/>
        <w:left w:val="none" w:sz="0" w:space="0" w:color="auto"/>
        <w:bottom w:val="none" w:sz="0" w:space="0" w:color="auto"/>
        <w:right w:val="none" w:sz="0" w:space="0" w:color="auto"/>
      </w:divBdr>
    </w:div>
    <w:div w:id="1102184766">
      <w:bodyDiv w:val="1"/>
      <w:marLeft w:val="0"/>
      <w:marRight w:val="0"/>
      <w:marTop w:val="0"/>
      <w:marBottom w:val="0"/>
      <w:divBdr>
        <w:top w:val="none" w:sz="0" w:space="0" w:color="auto"/>
        <w:left w:val="none" w:sz="0" w:space="0" w:color="auto"/>
        <w:bottom w:val="none" w:sz="0" w:space="0" w:color="auto"/>
        <w:right w:val="none" w:sz="0" w:space="0" w:color="auto"/>
      </w:divBdr>
    </w:div>
    <w:div w:id="1112357570">
      <w:bodyDiv w:val="1"/>
      <w:marLeft w:val="0"/>
      <w:marRight w:val="0"/>
      <w:marTop w:val="0"/>
      <w:marBottom w:val="0"/>
      <w:divBdr>
        <w:top w:val="none" w:sz="0" w:space="0" w:color="auto"/>
        <w:left w:val="none" w:sz="0" w:space="0" w:color="auto"/>
        <w:bottom w:val="none" w:sz="0" w:space="0" w:color="auto"/>
        <w:right w:val="none" w:sz="0" w:space="0" w:color="auto"/>
      </w:divBdr>
    </w:div>
    <w:div w:id="1139759730">
      <w:bodyDiv w:val="1"/>
      <w:marLeft w:val="0"/>
      <w:marRight w:val="0"/>
      <w:marTop w:val="0"/>
      <w:marBottom w:val="0"/>
      <w:divBdr>
        <w:top w:val="none" w:sz="0" w:space="0" w:color="auto"/>
        <w:left w:val="none" w:sz="0" w:space="0" w:color="auto"/>
        <w:bottom w:val="none" w:sz="0" w:space="0" w:color="auto"/>
        <w:right w:val="none" w:sz="0" w:space="0" w:color="auto"/>
      </w:divBdr>
    </w:div>
    <w:div w:id="1175725279">
      <w:bodyDiv w:val="1"/>
      <w:marLeft w:val="0"/>
      <w:marRight w:val="0"/>
      <w:marTop w:val="0"/>
      <w:marBottom w:val="0"/>
      <w:divBdr>
        <w:top w:val="none" w:sz="0" w:space="0" w:color="auto"/>
        <w:left w:val="none" w:sz="0" w:space="0" w:color="auto"/>
        <w:bottom w:val="none" w:sz="0" w:space="0" w:color="auto"/>
        <w:right w:val="none" w:sz="0" w:space="0" w:color="auto"/>
      </w:divBdr>
    </w:div>
    <w:div w:id="1209606027">
      <w:bodyDiv w:val="1"/>
      <w:marLeft w:val="0"/>
      <w:marRight w:val="0"/>
      <w:marTop w:val="0"/>
      <w:marBottom w:val="0"/>
      <w:divBdr>
        <w:top w:val="none" w:sz="0" w:space="0" w:color="auto"/>
        <w:left w:val="none" w:sz="0" w:space="0" w:color="auto"/>
        <w:bottom w:val="none" w:sz="0" w:space="0" w:color="auto"/>
        <w:right w:val="none" w:sz="0" w:space="0" w:color="auto"/>
      </w:divBdr>
    </w:div>
    <w:div w:id="1247497569">
      <w:bodyDiv w:val="1"/>
      <w:marLeft w:val="0"/>
      <w:marRight w:val="0"/>
      <w:marTop w:val="0"/>
      <w:marBottom w:val="0"/>
      <w:divBdr>
        <w:top w:val="none" w:sz="0" w:space="0" w:color="auto"/>
        <w:left w:val="none" w:sz="0" w:space="0" w:color="auto"/>
        <w:bottom w:val="none" w:sz="0" w:space="0" w:color="auto"/>
        <w:right w:val="none" w:sz="0" w:space="0" w:color="auto"/>
      </w:divBdr>
    </w:div>
    <w:div w:id="1253315802">
      <w:bodyDiv w:val="1"/>
      <w:marLeft w:val="0"/>
      <w:marRight w:val="0"/>
      <w:marTop w:val="0"/>
      <w:marBottom w:val="0"/>
      <w:divBdr>
        <w:top w:val="none" w:sz="0" w:space="0" w:color="auto"/>
        <w:left w:val="none" w:sz="0" w:space="0" w:color="auto"/>
        <w:bottom w:val="none" w:sz="0" w:space="0" w:color="auto"/>
        <w:right w:val="none" w:sz="0" w:space="0" w:color="auto"/>
      </w:divBdr>
    </w:div>
    <w:div w:id="1265262677">
      <w:bodyDiv w:val="1"/>
      <w:marLeft w:val="0"/>
      <w:marRight w:val="0"/>
      <w:marTop w:val="0"/>
      <w:marBottom w:val="0"/>
      <w:divBdr>
        <w:top w:val="none" w:sz="0" w:space="0" w:color="auto"/>
        <w:left w:val="none" w:sz="0" w:space="0" w:color="auto"/>
        <w:bottom w:val="none" w:sz="0" w:space="0" w:color="auto"/>
        <w:right w:val="none" w:sz="0" w:space="0" w:color="auto"/>
      </w:divBdr>
    </w:div>
    <w:div w:id="1267809743">
      <w:bodyDiv w:val="1"/>
      <w:marLeft w:val="0"/>
      <w:marRight w:val="0"/>
      <w:marTop w:val="0"/>
      <w:marBottom w:val="0"/>
      <w:divBdr>
        <w:top w:val="none" w:sz="0" w:space="0" w:color="auto"/>
        <w:left w:val="none" w:sz="0" w:space="0" w:color="auto"/>
        <w:bottom w:val="none" w:sz="0" w:space="0" w:color="auto"/>
        <w:right w:val="none" w:sz="0" w:space="0" w:color="auto"/>
      </w:divBdr>
    </w:div>
    <w:div w:id="1273898954">
      <w:bodyDiv w:val="1"/>
      <w:marLeft w:val="0"/>
      <w:marRight w:val="0"/>
      <w:marTop w:val="0"/>
      <w:marBottom w:val="0"/>
      <w:divBdr>
        <w:top w:val="none" w:sz="0" w:space="0" w:color="auto"/>
        <w:left w:val="none" w:sz="0" w:space="0" w:color="auto"/>
        <w:bottom w:val="none" w:sz="0" w:space="0" w:color="auto"/>
        <w:right w:val="none" w:sz="0" w:space="0" w:color="auto"/>
      </w:divBdr>
    </w:div>
    <w:div w:id="1294601337">
      <w:bodyDiv w:val="1"/>
      <w:marLeft w:val="0"/>
      <w:marRight w:val="0"/>
      <w:marTop w:val="0"/>
      <w:marBottom w:val="0"/>
      <w:divBdr>
        <w:top w:val="none" w:sz="0" w:space="0" w:color="auto"/>
        <w:left w:val="none" w:sz="0" w:space="0" w:color="auto"/>
        <w:bottom w:val="none" w:sz="0" w:space="0" w:color="auto"/>
        <w:right w:val="none" w:sz="0" w:space="0" w:color="auto"/>
      </w:divBdr>
    </w:div>
    <w:div w:id="1355496652">
      <w:bodyDiv w:val="1"/>
      <w:marLeft w:val="0"/>
      <w:marRight w:val="0"/>
      <w:marTop w:val="0"/>
      <w:marBottom w:val="0"/>
      <w:divBdr>
        <w:top w:val="none" w:sz="0" w:space="0" w:color="auto"/>
        <w:left w:val="none" w:sz="0" w:space="0" w:color="auto"/>
        <w:bottom w:val="none" w:sz="0" w:space="0" w:color="auto"/>
        <w:right w:val="none" w:sz="0" w:space="0" w:color="auto"/>
      </w:divBdr>
    </w:div>
    <w:div w:id="1358458876">
      <w:bodyDiv w:val="1"/>
      <w:marLeft w:val="0"/>
      <w:marRight w:val="0"/>
      <w:marTop w:val="0"/>
      <w:marBottom w:val="0"/>
      <w:divBdr>
        <w:top w:val="none" w:sz="0" w:space="0" w:color="auto"/>
        <w:left w:val="none" w:sz="0" w:space="0" w:color="auto"/>
        <w:bottom w:val="none" w:sz="0" w:space="0" w:color="auto"/>
        <w:right w:val="none" w:sz="0" w:space="0" w:color="auto"/>
      </w:divBdr>
    </w:div>
    <w:div w:id="1358459432">
      <w:bodyDiv w:val="1"/>
      <w:marLeft w:val="0"/>
      <w:marRight w:val="0"/>
      <w:marTop w:val="0"/>
      <w:marBottom w:val="0"/>
      <w:divBdr>
        <w:top w:val="none" w:sz="0" w:space="0" w:color="auto"/>
        <w:left w:val="none" w:sz="0" w:space="0" w:color="auto"/>
        <w:bottom w:val="none" w:sz="0" w:space="0" w:color="auto"/>
        <w:right w:val="none" w:sz="0" w:space="0" w:color="auto"/>
      </w:divBdr>
    </w:div>
    <w:div w:id="1360082902">
      <w:bodyDiv w:val="1"/>
      <w:marLeft w:val="0"/>
      <w:marRight w:val="0"/>
      <w:marTop w:val="0"/>
      <w:marBottom w:val="0"/>
      <w:divBdr>
        <w:top w:val="none" w:sz="0" w:space="0" w:color="auto"/>
        <w:left w:val="none" w:sz="0" w:space="0" w:color="auto"/>
        <w:bottom w:val="none" w:sz="0" w:space="0" w:color="auto"/>
        <w:right w:val="none" w:sz="0" w:space="0" w:color="auto"/>
      </w:divBdr>
    </w:div>
    <w:div w:id="1382366332">
      <w:bodyDiv w:val="1"/>
      <w:marLeft w:val="0"/>
      <w:marRight w:val="0"/>
      <w:marTop w:val="0"/>
      <w:marBottom w:val="0"/>
      <w:divBdr>
        <w:top w:val="none" w:sz="0" w:space="0" w:color="auto"/>
        <w:left w:val="none" w:sz="0" w:space="0" w:color="auto"/>
        <w:bottom w:val="none" w:sz="0" w:space="0" w:color="auto"/>
        <w:right w:val="none" w:sz="0" w:space="0" w:color="auto"/>
      </w:divBdr>
    </w:div>
    <w:div w:id="1419404990">
      <w:bodyDiv w:val="1"/>
      <w:marLeft w:val="0"/>
      <w:marRight w:val="0"/>
      <w:marTop w:val="0"/>
      <w:marBottom w:val="0"/>
      <w:divBdr>
        <w:top w:val="none" w:sz="0" w:space="0" w:color="auto"/>
        <w:left w:val="none" w:sz="0" w:space="0" w:color="auto"/>
        <w:bottom w:val="none" w:sz="0" w:space="0" w:color="auto"/>
        <w:right w:val="none" w:sz="0" w:space="0" w:color="auto"/>
      </w:divBdr>
    </w:div>
    <w:div w:id="1432355268">
      <w:bodyDiv w:val="1"/>
      <w:marLeft w:val="0"/>
      <w:marRight w:val="0"/>
      <w:marTop w:val="0"/>
      <w:marBottom w:val="0"/>
      <w:divBdr>
        <w:top w:val="none" w:sz="0" w:space="0" w:color="auto"/>
        <w:left w:val="none" w:sz="0" w:space="0" w:color="auto"/>
        <w:bottom w:val="none" w:sz="0" w:space="0" w:color="auto"/>
        <w:right w:val="none" w:sz="0" w:space="0" w:color="auto"/>
      </w:divBdr>
    </w:div>
    <w:div w:id="1445999120">
      <w:bodyDiv w:val="1"/>
      <w:marLeft w:val="0"/>
      <w:marRight w:val="0"/>
      <w:marTop w:val="0"/>
      <w:marBottom w:val="0"/>
      <w:divBdr>
        <w:top w:val="none" w:sz="0" w:space="0" w:color="auto"/>
        <w:left w:val="none" w:sz="0" w:space="0" w:color="auto"/>
        <w:bottom w:val="none" w:sz="0" w:space="0" w:color="auto"/>
        <w:right w:val="none" w:sz="0" w:space="0" w:color="auto"/>
      </w:divBdr>
    </w:div>
    <w:div w:id="1497381385">
      <w:bodyDiv w:val="1"/>
      <w:marLeft w:val="0"/>
      <w:marRight w:val="0"/>
      <w:marTop w:val="0"/>
      <w:marBottom w:val="0"/>
      <w:divBdr>
        <w:top w:val="none" w:sz="0" w:space="0" w:color="auto"/>
        <w:left w:val="none" w:sz="0" w:space="0" w:color="auto"/>
        <w:bottom w:val="none" w:sz="0" w:space="0" w:color="auto"/>
        <w:right w:val="none" w:sz="0" w:space="0" w:color="auto"/>
      </w:divBdr>
    </w:div>
    <w:div w:id="1501040759">
      <w:bodyDiv w:val="1"/>
      <w:marLeft w:val="0"/>
      <w:marRight w:val="0"/>
      <w:marTop w:val="0"/>
      <w:marBottom w:val="0"/>
      <w:divBdr>
        <w:top w:val="none" w:sz="0" w:space="0" w:color="auto"/>
        <w:left w:val="none" w:sz="0" w:space="0" w:color="auto"/>
        <w:bottom w:val="none" w:sz="0" w:space="0" w:color="auto"/>
        <w:right w:val="none" w:sz="0" w:space="0" w:color="auto"/>
      </w:divBdr>
      <w:divsChild>
        <w:div w:id="828668188">
          <w:marLeft w:val="0"/>
          <w:marRight w:val="0"/>
          <w:marTop w:val="0"/>
          <w:marBottom w:val="0"/>
          <w:divBdr>
            <w:top w:val="none" w:sz="0" w:space="0" w:color="auto"/>
            <w:left w:val="none" w:sz="0" w:space="0" w:color="auto"/>
            <w:bottom w:val="none" w:sz="0" w:space="0" w:color="auto"/>
            <w:right w:val="none" w:sz="0" w:space="0" w:color="auto"/>
          </w:divBdr>
          <w:divsChild>
            <w:div w:id="12191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4524">
      <w:bodyDiv w:val="1"/>
      <w:marLeft w:val="0"/>
      <w:marRight w:val="0"/>
      <w:marTop w:val="0"/>
      <w:marBottom w:val="0"/>
      <w:divBdr>
        <w:top w:val="none" w:sz="0" w:space="0" w:color="auto"/>
        <w:left w:val="none" w:sz="0" w:space="0" w:color="auto"/>
        <w:bottom w:val="none" w:sz="0" w:space="0" w:color="auto"/>
        <w:right w:val="none" w:sz="0" w:space="0" w:color="auto"/>
      </w:divBdr>
    </w:div>
    <w:div w:id="1554927752">
      <w:bodyDiv w:val="1"/>
      <w:marLeft w:val="0"/>
      <w:marRight w:val="0"/>
      <w:marTop w:val="0"/>
      <w:marBottom w:val="0"/>
      <w:divBdr>
        <w:top w:val="none" w:sz="0" w:space="0" w:color="auto"/>
        <w:left w:val="none" w:sz="0" w:space="0" w:color="auto"/>
        <w:bottom w:val="none" w:sz="0" w:space="0" w:color="auto"/>
        <w:right w:val="none" w:sz="0" w:space="0" w:color="auto"/>
      </w:divBdr>
    </w:div>
    <w:div w:id="1588153441">
      <w:bodyDiv w:val="1"/>
      <w:marLeft w:val="0"/>
      <w:marRight w:val="0"/>
      <w:marTop w:val="0"/>
      <w:marBottom w:val="0"/>
      <w:divBdr>
        <w:top w:val="none" w:sz="0" w:space="0" w:color="auto"/>
        <w:left w:val="none" w:sz="0" w:space="0" w:color="auto"/>
        <w:bottom w:val="none" w:sz="0" w:space="0" w:color="auto"/>
        <w:right w:val="none" w:sz="0" w:space="0" w:color="auto"/>
      </w:divBdr>
    </w:div>
    <w:div w:id="1615357825">
      <w:bodyDiv w:val="1"/>
      <w:marLeft w:val="0"/>
      <w:marRight w:val="0"/>
      <w:marTop w:val="0"/>
      <w:marBottom w:val="0"/>
      <w:divBdr>
        <w:top w:val="none" w:sz="0" w:space="0" w:color="auto"/>
        <w:left w:val="none" w:sz="0" w:space="0" w:color="auto"/>
        <w:bottom w:val="none" w:sz="0" w:space="0" w:color="auto"/>
        <w:right w:val="none" w:sz="0" w:space="0" w:color="auto"/>
      </w:divBdr>
    </w:div>
    <w:div w:id="1680619173">
      <w:bodyDiv w:val="1"/>
      <w:marLeft w:val="0"/>
      <w:marRight w:val="0"/>
      <w:marTop w:val="0"/>
      <w:marBottom w:val="0"/>
      <w:divBdr>
        <w:top w:val="none" w:sz="0" w:space="0" w:color="auto"/>
        <w:left w:val="none" w:sz="0" w:space="0" w:color="auto"/>
        <w:bottom w:val="none" w:sz="0" w:space="0" w:color="auto"/>
        <w:right w:val="none" w:sz="0" w:space="0" w:color="auto"/>
      </w:divBdr>
    </w:div>
    <w:div w:id="1701202269">
      <w:bodyDiv w:val="1"/>
      <w:marLeft w:val="0"/>
      <w:marRight w:val="0"/>
      <w:marTop w:val="0"/>
      <w:marBottom w:val="0"/>
      <w:divBdr>
        <w:top w:val="none" w:sz="0" w:space="0" w:color="auto"/>
        <w:left w:val="none" w:sz="0" w:space="0" w:color="auto"/>
        <w:bottom w:val="none" w:sz="0" w:space="0" w:color="auto"/>
        <w:right w:val="none" w:sz="0" w:space="0" w:color="auto"/>
      </w:divBdr>
    </w:div>
    <w:div w:id="1724255638">
      <w:bodyDiv w:val="1"/>
      <w:marLeft w:val="0"/>
      <w:marRight w:val="0"/>
      <w:marTop w:val="0"/>
      <w:marBottom w:val="0"/>
      <w:divBdr>
        <w:top w:val="none" w:sz="0" w:space="0" w:color="auto"/>
        <w:left w:val="none" w:sz="0" w:space="0" w:color="auto"/>
        <w:bottom w:val="none" w:sz="0" w:space="0" w:color="auto"/>
        <w:right w:val="none" w:sz="0" w:space="0" w:color="auto"/>
      </w:divBdr>
    </w:div>
    <w:div w:id="1769038268">
      <w:bodyDiv w:val="1"/>
      <w:marLeft w:val="0"/>
      <w:marRight w:val="0"/>
      <w:marTop w:val="0"/>
      <w:marBottom w:val="0"/>
      <w:divBdr>
        <w:top w:val="none" w:sz="0" w:space="0" w:color="auto"/>
        <w:left w:val="none" w:sz="0" w:space="0" w:color="auto"/>
        <w:bottom w:val="none" w:sz="0" w:space="0" w:color="auto"/>
        <w:right w:val="none" w:sz="0" w:space="0" w:color="auto"/>
      </w:divBdr>
    </w:div>
    <w:div w:id="1789934238">
      <w:bodyDiv w:val="1"/>
      <w:marLeft w:val="0"/>
      <w:marRight w:val="0"/>
      <w:marTop w:val="0"/>
      <w:marBottom w:val="0"/>
      <w:divBdr>
        <w:top w:val="none" w:sz="0" w:space="0" w:color="auto"/>
        <w:left w:val="none" w:sz="0" w:space="0" w:color="auto"/>
        <w:bottom w:val="none" w:sz="0" w:space="0" w:color="auto"/>
        <w:right w:val="none" w:sz="0" w:space="0" w:color="auto"/>
      </w:divBdr>
    </w:div>
    <w:div w:id="1794598578">
      <w:bodyDiv w:val="1"/>
      <w:marLeft w:val="0"/>
      <w:marRight w:val="0"/>
      <w:marTop w:val="0"/>
      <w:marBottom w:val="0"/>
      <w:divBdr>
        <w:top w:val="none" w:sz="0" w:space="0" w:color="auto"/>
        <w:left w:val="none" w:sz="0" w:space="0" w:color="auto"/>
        <w:bottom w:val="none" w:sz="0" w:space="0" w:color="auto"/>
        <w:right w:val="none" w:sz="0" w:space="0" w:color="auto"/>
      </w:divBdr>
    </w:div>
    <w:div w:id="1843931225">
      <w:bodyDiv w:val="1"/>
      <w:marLeft w:val="0"/>
      <w:marRight w:val="0"/>
      <w:marTop w:val="0"/>
      <w:marBottom w:val="0"/>
      <w:divBdr>
        <w:top w:val="none" w:sz="0" w:space="0" w:color="auto"/>
        <w:left w:val="none" w:sz="0" w:space="0" w:color="auto"/>
        <w:bottom w:val="none" w:sz="0" w:space="0" w:color="auto"/>
        <w:right w:val="none" w:sz="0" w:space="0" w:color="auto"/>
      </w:divBdr>
    </w:div>
    <w:div w:id="1852915679">
      <w:bodyDiv w:val="1"/>
      <w:marLeft w:val="0"/>
      <w:marRight w:val="0"/>
      <w:marTop w:val="0"/>
      <w:marBottom w:val="0"/>
      <w:divBdr>
        <w:top w:val="none" w:sz="0" w:space="0" w:color="auto"/>
        <w:left w:val="none" w:sz="0" w:space="0" w:color="auto"/>
        <w:bottom w:val="none" w:sz="0" w:space="0" w:color="auto"/>
        <w:right w:val="none" w:sz="0" w:space="0" w:color="auto"/>
      </w:divBdr>
    </w:div>
    <w:div w:id="1889298441">
      <w:bodyDiv w:val="1"/>
      <w:marLeft w:val="0"/>
      <w:marRight w:val="0"/>
      <w:marTop w:val="0"/>
      <w:marBottom w:val="0"/>
      <w:divBdr>
        <w:top w:val="none" w:sz="0" w:space="0" w:color="auto"/>
        <w:left w:val="none" w:sz="0" w:space="0" w:color="auto"/>
        <w:bottom w:val="none" w:sz="0" w:space="0" w:color="auto"/>
        <w:right w:val="none" w:sz="0" w:space="0" w:color="auto"/>
      </w:divBdr>
    </w:div>
    <w:div w:id="1911845558">
      <w:bodyDiv w:val="1"/>
      <w:marLeft w:val="0"/>
      <w:marRight w:val="0"/>
      <w:marTop w:val="0"/>
      <w:marBottom w:val="0"/>
      <w:divBdr>
        <w:top w:val="none" w:sz="0" w:space="0" w:color="auto"/>
        <w:left w:val="none" w:sz="0" w:space="0" w:color="auto"/>
        <w:bottom w:val="none" w:sz="0" w:space="0" w:color="auto"/>
        <w:right w:val="none" w:sz="0" w:space="0" w:color="auto"/>
      </w:divBdr>
    </w:div>
    <w:div w:id="1912151696">
      <w:bodyDiv w:val="1"/>
      <w:marLeft w:val="0"/>
      <w:marRight w:val="0"/>
      <w:marTop w:val="0"/>
      <w:marBottom w:val="0"/>
      <w:divBdr>
        <w:top w:val="none" w:sz="0" w:space="0" w:color="auto"/>
        <w:left w:val="none" w:sz="0" w:space="0" w:color="auto"/>
        <w:bottom w:val="none" w:sz="0" w:space="0" w:color="auto"/>
        <w:right w:val="none" w:sz="0" w:space="0" w:color="auto"/>
      </w:divBdr>
    </w:div>
    <w:div w:id="1918592443">
      <w:bodyDiv w:val="1"/>
      <w:marLeft w:val="0"/>
      <w:marRight w:val="0"/>
      <w:marTop w:val="0"/>
      <w:marBottom w:val="0"/>
      <w:divBdr>
        <w:top w:val="none" w:sz="0" w:space="0" w:color="auto"/>
        <w:left w:val="none" w:sz="0" w:space="0" w:color="auto"/>
        <w:bottom w:val="none" w:sz="0" w:space="0" w:color="auto"/>
        <w:right w:val="none" w:sz="0" w:space="0" w:color="auto"/>
      </w:divBdr>
    </w:div>
    <w:div w:id="1921057318">
      <w:bodyDiv w:val="1"/>
      <w:marLeft w:val="0"/>
      <w:marRight w:val="0"/>
      <w:marTop w:val="0"/>
      <w:marBottom w:val="0"/>
      <w:divBdr>
        <w:top w:val="none" w:sz="0" w:space="0" w:color="auto"/>
        <w:left w:val="none" w:sz="0" w:space="0" w:color="auto"/>
        <w:bottom w:val="none" w:sz="0" w:space="0" w:color="auto"/>
        <w:right w:val="none" w:sz="0" w:space="0" w:color="auto"/>
      </w:divBdr>
    </w:div>
    <w:div w:id="1946687327">
      <w:bodyDiv w:val="1"/>
      <w:marLeft w:val="0"/>
      <w:marRight w:val="0"/>
      <w:marTop w:val="0"/>
      <w:marBottom w:val="0"/>
      <w:divBdr>
        <w:top w:val="none" w:sz="0" w:space="0" w:color="auto"/>
        <w:left w:val="none" w:sz="0" w:space="0" w:color="auto"/>
        <w:bottom w:val="none" w:sz="0" w:space="0" w:color="auto"/>
        <w:right w:val="none" w:sz="0" w:space="0" w:color="auto"/>
      </w:divBdr>
    </w:div>
    <w:div w:id="1975792687">
      <w:bodyDiv w:val="1"/>
      <w:marLeft w:val="0"/>
      <w:marRight w:val="0"/>
      <w:marTop w:val="0"/>
      <w:marBottom w:val="0"/>
      <w:divBdr>
        <w:top w:val="none" w:sz="0" w:space="0" w:color="auto"/>
        <w:left w:val="none" w:sz="0" w:space="0" w:color="auto"/>
        <w:bottom w:val="none" w:sz="0" w:space="0" w:color="auto"/>
        <w:right w:val="none" w:sz="0" w:space="0" w:color="auto"/>
      </w:divBdr>
    </w:div>
    <w:div w:id="2019501334">
      <w:bodyDiv w:val="1"/>
      <w:marLeft w:val="0"/>
      <w:marRight w:val="0"/>
      <w:marTop w:val="0"/>
      <w:marBottom w:val="0"/>
      <w:divBdr>
        <w:top w:val="none" w:sz="0" w:space="0" w:color="auto"/>
        <w:left w:val="none" w:sz="0" w:space="0" w:color="auto"/>
        <w:bottom w:val="none" w:sz="0" w:space="0" w:color="auto"/>
        <w:right w:val="none" w:sz="0" w:space="0" w:color="auto"/>
      </w:divBdr>
    </w:div>
    <w:div w:id="2027973624">
      <w:bodyDiv w:val="1"/>
      <w:marLeft w:val="0"/>
      <w:marRight w:val="0"/>
      <w:marTop w:val="0"/>
      <w:marBottom w:val="0"/>
      <w:divBdr>
        <w:top w:val="none" w:sz="0" w:space="0" w:color="auto"/>
        <w:left w:val="none" w:sz="0" w:space="0" w:color="auto"/>
        <w:bottom w:val="none" w:sz="0" w:space="0" w:color="auto"/>
        <w:right w:val="none" w:sz="0" w:space="0" w:color="auto"/>
      </w:divBdr>
    </w:div>
    <w:div w:id="2033993126">
      <w:bodyDiv w:val="1"/>
      <w:marLeft w:val="0"/>
      <w:marRight w:val="0"/>
      <w:marTop w:val="0"/>
      <w:marBottom w:val="0"/>
      <w:divBdr>
        <w:top w:val="none" w:sz="0" w:space="0" w:color="auto"/>
        <w:left w:val="none" w:sz="0" w:space="0" w:color="auto"/>
        <w:bottom w:val="none" w:sz="0" w:space="0" w:color="auto"/>
        <w:right w:val="none" w:sz="0" w:space="0" w:color="auto"/>
      </w:divBdr>
    </w:div>
    <w:div w:id="2034182334">
      <w:bodyDiv w:val="1"/>
      <w:marLeft w:val="0"/>
      <w:marRight w:val="0"/>
      <w:marTop w:val="0"/>
      <w:marBottom w:val="0"/>
      <w:divBdr>
        <w:top w:val="none" w:sz="0" w:space="0" w:color="auto"/>
        <w:left w:val="none" w:sz="0" w:space="0" w:color="auto"/>
        <w:bottom w:val="none" w:sz="0" w:space="0" w:color="auto"/>
        <w:right w:val="none" w:sz="0" w:space="0" w:color="auto"/>
      </w:divBdr>
    </w:div>
    <w:div w:id="2036887500">
      <w:bodyDiv w:val="1"/>
      <w:marLeft w:val="0"/>
      <w:marRight w:val="0"/>
      <w:marTop w:val="0"/>
      <w:marBottom w:val="0"/>
      <w:divBdr>
        <w:top w:val="none" w:sz="0" w:space="0" w:color="auto"/>
        <w:left w:val="none" w:sz="0" w:space="0" w:color="auto"/>
        <w:bottom w:val="none" w:sz="0" w:space="0" w:color="auto"/>
        <w:right w:val="none" w:sz="0" w:space="0" w:color="auto"/>
      </w:divBdr>
    </w:div>
    <w:div w:id="2050259595">
      <w:bodyDiv w:val="1"/>
      <w:marLeft w:val="0"/>
      <w:marRight w:val="0"/>
      <w:marTop w:val="0"/>
      <w:marBottom w:val="0"/>
      <w:divBdr>
        <w:top w:val="none" w:sz="0" w:space="0" w:color="auto"/>
        <w:left w:val="none" w:sz="0" w:space="0" w:color="auto"/>
        <w:bottom w:val="none" w:sz="0" w:space="0" w:color="auto"/>
        <w:right w:val="none" w:sz="0" w:space="0" w:color="auto"/>
      </w:divBdr>
    </w:div>
    <w:div w:id="2056078206">
      <w:bodyDiv w:val="1"/>
      <w:marLeft w:val="0"/>
      <w:marRight w:val="0"/>
      <w:marTop w:val="0"/>
      <w:marBottom w:val="0"/>
      <w:divBdr>
        <w:top w:val="none" w:sz="0" w:space="0" w:color="auto"/>
        <w:left w:val="none" w:sz="0" w:space="0" w:color="auto"/>
        <w:bottom w:val="none" w:sz="0" w:space="0" w:color="auto"/>
        <w:right w:val="none" w:sz="0" w:space="0" w:color="auto"/>
      </w:divBdr>
    </w:div>
    <w:div w:id="2058701055">
      <w:bodyDiv w:val="1"/>
      <w:marLeft w:val="0"/>
      <w:marRight w:val="0"/>
      <w:marTop w:val="0"/>
      <w:marBottom w:val="0"/>
      <w:divBdr>
        <w:top w:val="none" w:sz="0" w:space="0" w:color="auto"/>
        <w:left w:val="none" w:sz="0" w:space="0" w:color="auto"/>
        <w:bottom w:val="none" w:sz="0" w:space="0" w:color="auto"/>
        <w:right w:val="none" w:sz="0" w:space="0" w:color="auto"/>
      </w:divBdr>
    </w:div>
    <w:div w:id="2087341799">
      <w:bodyDiv w:val="1"/>
      <w:marLeft w:val="0"/>
      <w:marRight w:val="0"/>
      <w:marTop w:val="0"/>
      <w:marBottom w:val="0"/>
      <w:divBdr>
        <w:top w:val="none" w:sz="0" w:space="0" w:color="auto"/>
        <w:left w:val="none" w:sz="0" w:space="0" w:color="auto"/>
        <w:bottom w:val="none" w:sz="0" w:space="0" w:color="auto"/>
        <w:right w:val="none" w:sz="0" w:space="0" w:color="auto"/>
      </w:divBdr>
    </w:div>
    <w:div w:id="2097826695">
      <w:bodyDiv w:val="1"/>
      <w:marLeft w:val="0"/>
      <w:marRight w:val="0"/>
      <w:marTop w:val="0"/>
      <w:marBottom w:val="0"/>
      <w:divBdr>
        <w:top w:val="none" w:sz="0" w:space="0" w:color="auto"/>
        <w:left w:val="none" w:sz="0" w:space="0" w:color="auto"/>
        <w:bottom w:val="none" w:sz="0" w:space="0" w:color="auto"/>
        <w:right w:val="none" w:sz="0" w:space="0" w:color="auto"/>
      </w:divBdr>
    </w:div>
    <w:div w:id="2105759206">
      <w:bodyDiv w:val="1"/>
      <w:marLeft w:val="0"/>
      <w:marRight w:val="0"/>
      <w:marTop w:val="0"/>
      <w:marBottom w:val="0"/>
      <w:divBdr>
        <w:top w:val="none" w:sz="0" w:space="0" w:color="auto"/>
        <w:left w:val="none" w:sz="0" w:space="0" w:color="auto"/>
        <w:bottom w:val="none" w:sz="0" w:space="0" w:color="auto"/>
        <w:right w:val="none" w:sz="0" w:space="0" w:color="auto"/>
      </w:divBdr>
    </w:div>
    <w:div w:id="2117479569">
      <w:bodyDiv w:val="1"/>
      <w:marLeft w:val="0"/>
      <w:marRight w:val="0"/>
      <w:marTop w:val="0"/>
      <w:marBottom w:val="0"/>
      <w:divBdr>
        <w:top w:val="none" w:sz="0" w:space="0" w:color="auto"/>
        <w:left w:val="none" w:sz="0" w:space="0" w:color="auto"/>
        <w:bottom w:val="none" w:sz="0" w:space="0" w:color="auto"/>
        <w:right w:val="none" w:sz="0" w:space="0" w:color="auto"/>
      </w:divBdr>
    </w:div>
    <w:div w:id="21419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copubs.org/doi/abs/10.1200/JCO.2021.39.15_suppl.7500" TargetMode="External"/><Relationship Id="rId18" Type="http://schemas.openxmlformats.org/officeDocument/2006/relationships/hyperlink" Target="https://ashpublications.org/blood/article/124/21/19/89819/Frontline-Chemoimmunotherapy-with-Fludarabine-F" TargetMode="External"/><Relationship Id="rId26" Type="http://schemas.openxmlformats.org/officeDocument/2006/relationships/hyperlink" Target="https://imbruvica.com/files/prescribing-information.pdf" TargetMode="External"/><Relationship Id="rId39" Type="http://schemas.openxmlformats.org/officeDocument/2006/relationships/fontTable" Target="fontTable.xml"/><Relationship Id="rId21" Type="http://schemas.openxmlformats.org/officeDocument/2006/relationships/hyperlink" Target="https://ascopubs.org/doi/abs/10.1200/JCO.2020.38.15_suppl.8015" TargetMode="External"/><Relationship Id="rId34" Type="http://schemas.openxmlformats.org/officeDocument/2006/relationships/hyperlink" Target="https://pubmed.ncbi.nlm.nih.gov/30995176/" TargetMode="External"/><Relationship Id="rId7" Type="http://schemas.openxmlformats.org/officeDocument/2006/relationships/hyperlink" Target="https://www.cancer.org/research/cancer-facts-statistics/all-cancer-facts-figures/cancer-facts-figures-2021.html" TargetMode="External"/><Relationship Id="rId12" Type="http://schemas.openxmlformats.org/officeDocument/2006/relationships/hyperlink" Target="https://www.ncbi.nlm.nih.gov/pubmed/26641137" TargetMode="External"/><Relationship Id="rId17" Type="http://schemas.openxmlformats.org/officeDocument/2006/relationships/hyperlink" Target="https://pubmed.ncbi.nlm.nih.gov/27216274/" TargetMode="External"/><Relationship Id="rId25" Type="http://schemas.openxmlformats.org/officeDocument/2006/relationships/hyperlink" Target="https://clincancerres.aacrjournals.org/content/23/11/2831" TargetMode="External"/><Relationship Id="rId33" Type="http://schemas.openxmlformats.org/officeDocument/2006/relationships/hyperlink" Target="https://www.nejm.org/doi/full/10.1056/nejmoa1817073" TargetMode="External"/><Relationship Id="rId38" Type="http://schemas.openxmlformats.org/officeDocument/2006/relationships/hyperlink" Target="https://www.gilead.com/~/media/Files/pdfs/medicines/oncology/zydelig/zydelig_pi.pdf" TargetMode="External"/><Relationship Id="rId2" Type="http://schemas.openxmlformats.org/officeDocument/2006/relationships/styles" Target="styles.xml"/><Relationship Id="rId16" Type="http://schemas.openxmlformats.org/officeDocument/2006/relationships/hyperlink" Target="https://www.ncbi.nlm.nih.gov/pubmed/11136261" TargetMode="External"/><Relationship Id="rId20" Type="http://schemas.openxmlformats.org/officeDocument/2006/relationships/hyperlink" Target="https://www.ncbi.nlm.nih.gov/pmc/articles/PMC6284216/" TargetMode="External"/><Relationship Id="rId29" Type="http://schemas.openxmlformats.org/officeDocument/2006/relationships/hyperlink" Target="https://pubmed.ncbi.nlm.nih.gov/32198151/" TargetMode="External"/><Relationship Id="rId1" Type="http://schemas.openxmlformats.org/officeDocument/2006/relationships/numbering" Target="numbering.xml"/><Relationship Id="rId6" Type="http://schemas.openxmlformats.org/officeDocument/2006/relationships/hyperlink" Target="https://pubmed.ncbi.nlm.nih.gov/32888452/" TargetMode="External"/><Relationship Id="rId11" Type="http://schemas.openxmlformats.org/officeDocument/2006/relationships/hyperlink" Target="https://pubmed.ncbi.nlm.nih.gov/32209572/" TargetMode="External"/><Relationship Id="rId24" Type="http://schemas.openxmlformats.org/officeDocument/2006/relationships/hyperlink" Target="https://www.ncbi.nlm.nih.gov/pubmed/10477713" TargetMode="External"/><Relationship Id="rId32" Type="http://schemas.openxmlformats.org/officeDocument/2006/relationships/hyperlink" Target="https://www.ncbi.nlm.nih.gov/pubmed/29562156" TargetMode="External"/><Relationship Id="rId37" Type="http://schemas.openxmlformats.org/officeDocument/2006/relationships/hyperlink" Target="https://pubmed.ncbi.nlm.nih.gov/30501481/" TargetMode="External"/><Relationship Id="rId40" Type="http://schemas.openxmlformats.org/officeDocument/2006/relationships/theme" Target="theme/theme1.xml"/><Relationship Id="rId5" Type="http://schemas.openxmlformats.org/officeDocument/2006/relationships/hyperlink" Target="http://www.ahrq.gov/sites/default/files/publications/files/share-approach_factsheet.pdf" TargetMode="External"/><Relationship Id="rId15" Type="http://schemas.openxmlformats.org/officeDocument/2006/relationships/hyperlink" Target="https://copiktra.com/pdf/verastem/COPIKTRA-PI-072019.pdf" TargetMode="External"/><Relationship Id="rId23" Type="http://schemas.openxmlformats.org/officeDocument/2006/relationships/hyperlink" Target="https://www.ncbi.nlm.nih.gov/pmc/articles/PMC2972576/" TargetMode="External"/><Relationship Id="rId28" Type="http://schemas.openxmlformats.org/officeDocument/2006/relationships/hyperlink" Target="https://pubmed.ncbi.nlm.nih.gov/32986498/" TargetMode="External"/><Relationship Id="rId36" Type="http://schemas.openxmlformats.org/officeDocument/2006/relationships/hyperlink" Target="https://www.ncoda.org/wp-content/uploads/2021/09/Venetoclax-Venclexta-Risk-Stratification-Dosing-and-Dispensing-Procedure-updated-9.22.21.pdf" TargetMode="External"/><Relationship Id="rId10" Type="http://schemas.openxmlformats.org/officeDocument/2006/relationships/hyperlink" Target="https://ashpublications.org/blood/article/132/Supplement%201/3133/263863/Up-to-7-Years-of-Follow-up-of-Single-Agent" TargetMode="External"/><Relationship Id="rId19" Type="http://schemas.openxmlformats.org/officeDocument/2006/relationships/hyperlink" Target="https://www.nejm.org/doi/full/10.1056/NEJMoa1815281" TargetMode="External"/><Relationship Id="rId31" Type="http://schemas.openxmlformats.org/officeDocument/2006/relationships/hyperlink" Target="https://pubmed.ncbi.nlm.nih.gov/32841336/" TargetMode="External"/><Relationship Id="rId4" Type="http://schemas.openxmlformats.org/officeDocument/2006/relationships/webSettings" Target="webSettings.xml"/><Relationship Id="rId9" Type="http://schemas.openxmlformats.org/officeDocument/2006/relationships/hyperlink" Target="https://pubmed.ncbi.nlm.nih.gov/31628428/" TargetMode="External"/><Relationship Id="rId14" Type="http://schemas.openxmlformats.org/officeDocument/2006/relationships/hyperlink" Target="https://pubmed.ncbi.nlm.nih.gov/33786588/" TargetMode="External"/><Relationship Id="rId22" Type="http://schemas.openxmlformats.org/officeDocument/2006/relationships/hyperlink" Target="https://pubmed.ncbi.nlm.nih.gov/32459600/" TargetMode="External"/><Relationship Id="rId27" Type="http://schemas.openxmlformats.org/officeDocument/2006/relationships/hyperlink" Target="https://pubmed.ncbi.nlm.nih.gov/29246803/" TargetMode="External"/><Relationship Id="rId30" Type="http://schemas.openxmlformats.org/officeDocument/2006/relationships/hyperlink" Target="https://pubmed.ncbi.nlm.nih.gov/29437592/" TargetMode="External"/><Relationship Id="rId35" Type="http://schemas.openxmlformats.org/officeDocument/2006/relationships/hyperlink" Target="https://pubmed.ncbi.nlm.nih.gov/32305093/" TargetMode="External"/><Relationship Id="rId8" Type="http://schemas.openxmlformats.org/officeDocument/2006/relationships/hyperlink" Target="https://www.cancer.org/cancer/chronic-lymphocytic-leukemia.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longo</dc:creator>
  <cp:lastModifiedBy>Debra Gordon</cp:lastModifiedBy>
  <cp:revision>2</cp:revision>
  <dcterms:created xsi:type="dcterms:W3CDTF">2021-10-04T18:54:00Z</dcterms:created>
  <dcterms:modified xsi:type="dcterms:W3CDTF">2021-10-04T18:54:00Z</dcterms:modified>
</cp:coreProperties>
</file>