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2D2C2474"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4B47DD" w:rsidRPr="004B47DD">
        <w:rPr>
          <w:rFonts w:asciiTheme="minorHAnsi" w:hAnsiTheme="minorHAnsi" w:cstheme="minorHAnsi"/>
          <w:b/>
          <w:bCs/>
          <w:color w:val="000000" w:themeColor="text1"/>
          <w:sz w:val="20"/>
        </w:rPr>
        <w:t>IC-ONC</w:t>
      </w:r>
      <w:r w:rsidR="004B710E">
        <w:rPr>
          <w:rFonts w:asciiTheme="minorHAnsi" w:hAnsiTheme="minorHAnsi" w:cstheme="minorHAnsi"/>
          <w:b/>
          <w:bCs/>
          <w:color w:val="000000" w:themeColor="text1"/>
          <w:sz w:val="20"/>
        </w:rPr>
        <w:t xml:space="preserve"> -</w:t>
      </w:r>
      <w:r w:rsidR="004B47DD" w:rsidRPr="004B47DD">
        <w:rPr>
          <w:rFonts w:asciiTheme="minorHAnsi" w:hAnsiTheme="minorHAnsi" w:cstheme="minorHAnsi"/>
          <w:b/>
          <w:bCs/>
          <w:color w:val="000000" w:themeColor="text1"/>
          <w:sz w:val="20"/>
        </w:rPr>
        <w:t xml:space="preserve"> Combination Treatment Options, Biomarkers and Immune-related Adverse Event Occurrence and Management During the COVID-19 Pandemic</w:t>
      </w:r>
      <w:r w:rsidR="004B710E">
        <w:rPr>
          <w:rFonts w:asciiTheme="minorHAnsi" w:hAnsiTheme="minorHAnsi" w:cstheme="minorHAnsi"/>
          <w:b/>
          <w:bCs/>
          <w:color w:val="000000" w:themeColor="text1"/>
          <w:sz w:val="20"/>
        </w:rPr>
        <w:t>,</w:t>
      </w:r>
      <w:r w:rsidR="004B47DD">
        <w:rPr>
          <w:rFonts w:asciiTheme="minorHAnsi" w:hAnsiTheme="minorHAnsi" w:cstheme="minorHAnsi"/>
          <w:b/>
          <w:bCs/>
          <w:color w:val="000000" w:themeColor="text1"/>
          <w:sz w:val="20"/>
        </w:rPr>
        <w:t xml:space="preserve"> Track </w:t>
      </w:r>
      <w:r w:rsidR="00420ED5" w:rsidRPr="00420ED5">
        <w:rPr>
          <w:rFonts w:asciiTheme="minorHAnsi" w:hAnsiTheme="minorHAnsi" w:cstheme="minorHAnsi"/>
          <w:b/>
          <w:bCs/>
          <w:color w:val="000000" w:themeColor="text1"/>
          <w:sz w:val="20"/>
        </w:rPr>
        <w:t>4: Hepatocellular Carcinoma</w:t>
      </w:r>
    </w:p>
    <w:p w14:paraId="0F1F6C65" w14:textId="52190E15" w:rsidR="00507903" w:rsidRPr="00AC26F6" w:rsidRDefault="004B47DD" w:rsidP="00CA7C2A">
      <w:pPr>
        <w:ind w:left="-270"/>
        <w:rPr>
          <w:rFonts w:asciiTheme="minorHAnsi" w:hAnsiTheme="minorHAnsi" w:cstheme="minorHAnsi"/>
          <w:b/>
          <w:bCs/>
          <w:noProof/>
          <w:color w:val="000000" w:themeColor="text1"/>
        </w:rPr>
      </w:pPr>
      <w:r>
        <w:rPr>
          <w:rFonts w:asciiTheme="minorHAnsi" w:hAnsiTheme="minorHAnsi" w:cstheme="minorHAnsi"/>
          <w:b/>
          <w:bCs/>
          <w:noProof/>
          <w:color w:val="000000" w:themeColor="text1"/>
        </w:rPr>
        <w:t xml:space="preserve">June </w:t>
      </w:r>
      <w:r w:rsidR="00E301E0">
        <w:rPr>
          <w:rFonts w:asciiTheme="minorHAnsi" w:hAnsiTheme="minorHAnsi" w:cstheme="minorHAnsi"/>
          <w:b/>
          <w:bCs/>
          <w:noProof/>
          <w:color w:val="000000" w:themeColor="text1"/>
        </w:rPr>
        <w:t>1</w:t>
      </w:r>
      <w:r w:rsidR="00521186">
        <w:rPr>
          <w:rFonts w:asciiTheme="minorHAnsi" w:hAnsiTheme="minorHAnsi" w:cstheme="minorHAnsi"/>
          <w:b/>
          <w:bCs/>
          <w:noProof/>
          <w:color w:val="000000" w:themeColor="text1"/>
        </w:rPr>
        <w:t>5</w:t>
      </w:r>
      <w:r w:rsidR="005A0F24" w:rsidRPr="00AC26F6">
        <w:rPr>
          <w:rFonts w:asciiTheme="minorHAnsi" w:hAnsiTheme="minorHAnsi" w:cstheme="minorHAnsi"/>
          <w:b/>
          <w:bCs/>
          <w:noProof/>
          <w:color w:val="000000" w:themeColor="text1"/>
        </w:rPr>
        <w:t>,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228128F5" w:rsidR="00295183" w:rsidRPr="00AC26F6" w:rsidRDefault="004B710E" w:rsidP="00B47123">
      <w:pPr>
        <w:rPr>
          <w:rFonts w:asciiTheme="minorHAnsi" w:hAnsiTheme="minorHAnsi" w:cstheme="minorHAnsi"/>
          <w:color w:val="000000" w:themeColor="text1"/>
        </w:rPr>
      </w:pPr>
      <w:r w:rsidRPr="004B710E">
        <w:rPr>
          <w:rFonts w:asciiTheme="minorHAnsi" w:hAnsiTheme="minorHAnsi" w:cstheme="minorHAnsi"/>
          <w:color w:val="000000" w:themeColor="text1"/>
        </w:rPr>
        <w:t>Bristol Myers Squibb</w:t>
      </w:r>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&#13;&#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B9229FF">
                            <wp:extent cx="891988" cy="567266"/>
                            <wp:effectExtent l="0" t="0" r="0" b="444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7424" cy="583442"/>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4A6C2A48" w14:textId="0B9380C4"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420ED5" w:rsidRPr="00420ED5">
        <w:rPr>
          <w:rFonts w:asciiTheme="minorHAnsi" w:hAnsiTheme="minorHAnsi" w:cstheme="minorHAnsi"/>
          <w:color w:val="000000"/>
        </w:rPr>
        <w:t>JA4008163-9999-21-117-L04-P / JA4008163-9999-21-117-L04-T</w:t>
      </w:r>
      <w:r w:rsidR="004B47DD">
        <w:rPr>
          <w:rFonts w:asciiTheme="minorHAnsi" w:hAnsiTheme="minorHAnsi" w:cstheme="minorHAnsi"/>
          <w:color w:val="000000"/>
        </w:rPr>
        <w:br/>
      </w:r>
      <w:r w:rsidR="004B47DD">
        <w:rPr>
          <w:rFonts w:asciiTheme="minorHAnsi" w:hAnsiTheme="minorHAnsi" w:cstheme="minorHAnsi"/>
          <w:color w:val="000000"/>
          <w:sz w:val="10"/>
          <w:szCs w:val="1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57F756F9" w14:textId="77777777" w:rsidR="00420ED5" w:rsidRPr="00420ED5" w:rsidRDefault="00420ED5" w:rsidP="005A0F24">
      <w:pPr>
        <w:numPr>
          <w:ilvl w:val="0"/>
          <w:numId w:val="17"/>
        </w:numPr>
        <w:rPr>
          <w:rFonts w:asciiTheme="minorHAnsi" w:hAnsiTheme="minorHAnsi" w:cstheme="minorHAnsi"/>
          <w:noProof/>
          <w:color w:val="000000" w:themeColor="text1"/>
          <w:u w:val="single"/>
        </w:rPr>
      </w:pPr>
      <w:r w:rsidRPr="00420ED5">
        <w:rPr>
          <w:rFonts w:asciiTheme="minorHAnsi" w:eastAsia="Calibri" w:hAnsiTheme="minorHAnsi" w:cstheme="minorHAnsi"/>
          <w:color w:val="000000" w:themeColor="text1"/>
        </w:rPr>
        <w:t>Review mechanisms of action and clinical profiles of immunotherapies used alone or in combination across lines of therapy for the treatment of HCC</w:t>
      </w:r>
      <w:r>
        <w:rPr>
          <w:rFonts w:asciiTheme="minorHAnsi" w:eastAsia="Calibri" w:hAnsiTheme="minorHAnsi" w:cstheme="minorHAnsi"/>
          <w:color w:val="000000" w:themeColor="text1"/>
        </w:rPr>
        <w:t>.</w:t>
      </w:r>
    </w:p>
    <w:p w14:paraId="3A2DED33" w14:textId="46D067B2" w:rsidR="00CA7C2A" w:rsidRPr="004B47DD" w:rsidRDefault="00E301E0" w:rsidP="005A0F24">
      <w:pPr>
        <w:numPr>
          <w:ilvl w:val="0"/>
          <w:numId w:val="17"/>
        </w:numPr>
        <w:rPr>
          <w:rFonts w:asciiTheme="minorHAnsi" w:hAnsiTheme="minorHAnsi" w:cstheme="minorHAnsi"/>
          <w:noProof/>
          <w:color w:val="000000" w:themeColor="text1"/>
          <w:u w:val="single"/>
        </w:rPr>
      </w:pPr>
      <w:r w:rsidRPr="00E301E0">
        <w:rPr>
          <w:rFonts w:asciiTheme="minorHAnsi" w:eastAsia="Calibri" w:hAnsiTheme="minorHAnsi" w:cstheme="minorHAnsi"/>
          <w:color w:val="000000" w:themeColor="text1"/>
        </w:rPr>
        <w:t>Recognize and manage side effects and toxicities associated with available and emerging immunotherapies used alone or in combination across lines of therapy for the treatment of RCC</w:t>
      </w:r>
      <w:r w:rsidR="00295183" w:rsidRPr="00AC26F6">
        <w:rPr>
          <w:rFonts w:asciiTheme="minorHAnsi" w:eastAsia="Calibri" w:hAnsiTheme="minorHAnsi" w:cstheme="minorHAnsi"/>
          <w:color w:val="000000" w:themeColor="text1"/>
        </w:rPr>
        <w:t>.</w:t>
      </w:r>
    </w:p>
    <w:p w14:paraId="478A3F6E" w14:textId="64E94DCA" w:rsidR="00E301E0" w:rsidRDefault="00420ED5" w:rsidP="005A0F24">
      <w:pPr>
        <w:numPr>
          <w:ilvl w:val="0"/>
          <w:numId w:val="17"/>
        </w:numPr>
        <w:rPr>
          <w:rFonts w:asciiTheme="minorHAnsi" w:hAnsiTheme="minorHAnsi" w:cstheme="minorHAnsi"/>
          <w:noProof/>
          <w:color w:val="000000" w:themeColor="text1"/>
        </w:rPr>
      </w:pPr>
      <w:r w:rsidRPr="00420ED5">
        <w:rPr>
          <w:rFonts w:asciiTheme="minorHAnsi" w:hAnsiTheme="minorHAnsi" w:cstheme="minorHAnsi"/>
          <w:noProof/>
          <w:color w:val="000000" w:themeColor="text1"/>
        </w:rPr>
        <w:t>Discuss established and potential prognostic and predictive immune- and non-immune-related biomarkers for HCC and their impact on patient management strategies</w:t>
      </w:r>
      <w:r w:rsidR="00E301E0">
        <w:rPr>
          <w:rFonts w:asciiTheme="minorHAnsi" w:hAnsiTheme="minorHAnsi" w:cstheme="minorHAnsi"/>
          <w:noProof/>
          <w:color w:val="000000" w:themeColor="text1"/>
        </w:rPr>
        <w:t>.</w:t>
      </w:r>
    </w:p>
    <w:p w14:paraId="0AD95529" w14:textId="05ED9E0C" w:rsidR="00E301E0" w:rsidRDefault="00420ED5" w:rsidP="005A0F24">
      <w:pPr>
        <w:numPr>
          <w:ilvl w:val="0"/>
          <w:numId w:val="17"/>
        </w:numPr>
        <w:rPr>
          <w:rFonts w:asciiTheme="minorHAnsi" w:hAnsiTheme="minorHAnsi" w:cstheme="minorHAnsi"/>
          <w:noProof/>
          <w:color w:val="000000" w:themeColor="text1"/>
        </w:rPr>
      </w:pPr>
      <w:r w:rsidRPr="00420ED5">
        <w:rPr>
          <w:rFonts w:asciiTheme="minorHAnsi" w:hAnsiTheme="minorHAnsi" w:cstheme="minorHAnsi"/>
          <w:noProof/>
          <w:color w:val="000000" w:themeColor="text1"/>
        </w:rPr>
        <w:t>Summarize current recommendations and emerging evidence regarding the use of immunotherapies for patients with HCC during the COVID-19 pandemic including the management of irAEs and the utility of telemedicine</w:t>
      </w:r>
      <w:r w:rsidR="00E301E0">
        <w:rPr>
          <w:rFonts w:asciiTheme="minorHAnsi" w:hAnsiTheme="minorHAnsi" w:cstheme="minorHAnsi"/>
          <w:noProof/>
          <w:color w:val="000000" w:themeColor="text1"/>
        </w:rPr>
        <w:t>.</w:t>
      </w:r>
    </w:p>
    <w:p w14:paraId="691C4C23" w14:textId="3123F73B" w:rsidR="004B47DD" w:rsidRDefault="00420ED5" w:rsidP="005A0F24">
      <w:pPr>
        <w:numPr>
          <w:ilvl w:val="0"/>
          <w:numId w:val="17"/>
        </w:numPr>
        <w:rPr>
          <w:rFonts w:asciiTheme="minorHAnsi" w:hAnsiTheme="minorHAnsi" w:cstheme="minorHAnsi"/>
          <w:noProof/>
          <w:color w:val="000000" w:themeColor="text1"/>
        </w:rPr>
      </w:pPr>
      <w:r w:rsidRPr="00420ED5">
        <w:rPr>
          <w:rFonts w:asciiTheme="minorHAnsi" w:hAnsiTheme="minorHAnsi" w:cstheme="minorHAnsi"/>
          <w:noProof/>
          <w:color w:val="000000" w:themeColor="text1"/>
        </w:rPr>
        <w:t>Explain patient-centered SDM approaches aimed at optimizing cancer care and survivorship for those with RCC and the role of emergency care physicians as part of multidisciplinary teams in the diagnosis and management of irAEs associated with immunotherapies used alone or in combination</w:t>
      </w:r>
      <w:r w:rsidR="004B47DD">
        <w:rPr>
          <w:rFonts w:asciiTheme="minorHAnsi" w:hAnsiTheme="minorHAnsi" w:cstheme="minorHAnsi"/>
          <w:noProof/>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6DFD5AE9" w14:textId="77777777" w:rsidR="004B710E"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p>
    <w:p w14:paraId="172F6F82" w14:textId="2B957F2D" w:rsidR="00CA7C2A" w:rsidRPr="00AC26F6" w:rsidRDefault="004B710E" w:rsidP="00680919">
      <w:pPr>
        <w:pStyle w:val="BodyText"/>
        <w:rPr>
          <w:rFonts w:asciiTheme="minorHAnsi" w:hAnsiTheme="minorHAnsi" w:cstheme="minorHAnsi"/>
          <w:sz w:val="20"/>
        </w:rPr>
      </w:pPr>
      <w:r>
        <w:rPr>
          <w:rFonts w:asciiTheme="minorHAnsi" w:hAnsiTheme="minorHAnsi" w:cstheme="minorHAnsi"/>
          <w:sz w:val="10"/>
          <w:szCs w:val="10"/>
        </w:rPr>
        <w:br/>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620" w:type="dxa"/>
        <w:tblInd w:w="-5" w:type="dxa"/>
        <w:tblLook w:val="04A0" w:firstRow="1" w:lastRow="0" w:firstColumn="1" w:lastColumn="0" w:noHBand="0" w:noVBand="1"/>
      </w:tblPr>
      <w:tblGrid>
        <w:gridCol w:w="1890"/>
        <w:gridCol w:w="8730"/>
      </w:tblGrid>
      <w:tr w:rsidR="007C1567" w:rsidRPr="00AC26F6" w14:paraId="5D98500A" w14:textId="77777777" w:rsidTr="00F15A19">
        <w:trPr>
          <w:trHeight w:val="224"/>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34ADF" w14:textId="77777777" w:rsidR="007C1567" w:rsidRPr="00AC26F6" w:rsidRDefault="007C1567" w:rsidP="00F15A19">
            <w:pPr>
              <w:jc w:val="center"/>
              <w:rPr>
                <w:rFonts w:asciiTheme="minorHAnsi" w:hAnsiTheme="minorHAnsi" w:cstheme="minorHAnsi"/>
                <w:b/>
                <w:bCs/>
              </w:rPr>
            </w:pPr>
            <w:r w:rsidRPr="00AC26F6">
              <w:rPr>
                <w:rFonts w:asciiTheme="minorHAnsi" w:hAnsiTheme="minorHAnsi" w:cstheme="minorHAnsi"/>
                <w:b/>
                <w:bCs/>
              </w:rPr>
              <w:t>Name</w:t>
            </w:r>
          </w:p>
        </w:tc>
        <w:tc>
          <w:tcPr>
            <w:tcW w:w="8730" w:type="dxa"/>
            <w:tcBorders>
              <w:top w:val="single" w:sz="4" w:space="0" w:color="auto"/>
              <w:left w:val="nil"/>
              <w:bottom w:val="single" w:sz="4" w:space="0" w:color="auto"/>
              <w:right w:val="single" w:sz="4" w:space="0" w:color="auto"/>
            </w:tcBorders>
            <w:shd w:val="clear" w:color="auto" w:fill="auto"/>
            <w:vAlign w:val="bottom"/>
          </w:tcPr>
          <w:p w14:paraId="071C23DB" w14:textId="77777777" w:rsidR="007C1567" w:rsidRPr="00AC26F6" w:rsidRDefault="007C1567" w:rsidP="00F15A19">
            <w:pPr>
              <w:jc w:val="center"/>
              <w:rPr>
                <w:rFonts w:asciiTheme="minorHAnsi" w:hAnsiTheme="minorHAnsi" w:cstheme="minorHAnsi"/>
                <w:b/>
                <w:bCs/>
                <w:color w:val="000000"/>
              </w:rPr>
            </w:pPr>
            <w:r w:rsidRPr="00AC26F6">
              <w:rPr>
                <w:rFonts w:asciiTheme="minorHAnsi" w:hAnsiTheme="minorHAnsi" w:cstheme="minorHAnsi"/>
                <w:b/>
                <w:bCs/>
                <w:color w:val="000000"/>
              </w:rPr>
              <w:t>Relationship: Commercial Interest</w:t>
            </w:r>
          </w:p>
        </w:tc>
      </w:tr>
      <w:tr w:rsidR="007C1567" w:rsidRPr="00AC26F6" w14:paraId="3BCF5E1B"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11259092"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 xml:space="preserve">Matthew </w:t>
            </w:r>
            <w:proofErr w:type="spellStart"/>
            <w:r w:rsidRPr="00AC26F6">
              <w:rPr>
                <w:rFonts w:asciiTheme="minorHAnsi" w:hAnsiTheme="minorHAnsi" w:cstheme="minorHAnsi"/>
                <w:color w:val="000000"/>
              </w:rPr>
              <w:t>Frese</w:t>
            </w:r>
            <w:proofErr w:type="spellEnd"/>
          </w:p>
        </w:tc>
        <w:tc>
          <w:tcPr>
            <w:tcW w:w="8730" w:type="dxa"/>
            <w:tcBorders>
              <w:top w:val="nil"/>
              <w:left w:val="nil"/>
              <w:bottom w:val="single" w:sz="4" w:space="0" w:color="auto"/>
              <w:right w:val="single" w:sz="4" w:space="0" w:color="auto"/>
            </w:tcBorders>
            <w:shd w:val="clear" w:color="auto" w:fill="auto"/>
            <w:vAlign w:val="bottom"/>
          </w:tcPr>
          <w:p w14:paraId="6927ED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54BBEEBE"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hideMark/>
          </w:tcPr>
          <w:p w14:paraId="1D5A0F65"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Christina Gallo</w:t>
            </w:r>
          </w:p>
        </w:tc>
        <w:tc>
          <w:tcPr>
            <w:tcW w:w="8730" w:type="dxa"/>
            <w:tcBorders>
              <w:top w:val="nil"/>
              <w:left w:val="nil"/>
              <w:bottom w:val="single" w:sz="4" w:space="0" w:color="auto"/>
              <w:right w:val="single" w:sz="4" w:space="0" w:color="auto"/>
            </w:tcBorders>
            <w:shd w:val="clear" w:color="auto" w:fill="auto"/>
            <w:vAlign w:val="bottom"/>
            <w:hideMark/>
          </w:tcPr>
          <w:p w14:paraId="230D6A83"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521186" w:rsidRPr="00AC26F6" w14:paraId="40F05726"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D0E0BD1" w14:textId="6B2164E0" w:rsidR="00521186" w:rsidRDefault="00521186" w:rsidP="00F15A19">
            <w:pPr>
              <w:rPr>
                <w:rFonts w:ascii="Calibri" w:hAnsi="Calibri" w:cs="Calibri"/>
                <w:lang w:bidi="en-US"/>
              </w:rPr>
            </w:pPr>
            <w:r>
              <w:rPr>
                <w:rFonts w:ascii="Calibri" w:hAnsi="Calibri" w:cs="Calibri"/>
                <w:lang w:bidi="en-US"/>
              </w:rPr>
              <w:t>Robert G. Gish</w:t>
            </w:r>
          </w:p>
        </w:tc>
        <w:tc>
          <w:tcPr>
            <w:tcW w:w="8730" w:type="dxa"/>
            <w:tcBorders>
              <w:top w:val="single" w:sz="4" w:space="0" w:color="auto"/>
              <w:left w:val="nil"/>
              <w:bottom w:val="single" w:sz="4" w:space="0" w:color="auto"/>
              <w:right w:val="single" w:sz="4" w:space="0" w:color="auto"/>
            </w:tcBorders>
            <w:shd w:val="clear" w:color="auto" w:fill="auto"/>
            <w:vAlign w:val="bottom"/>
          </w:tcPr>
          <w:p w14:paraId="4EE84D75" w14:textId="79FBF9F0" w:rsidR="00521186" w:rsidRPr="00521186" w:rsidRDefault="00521186" w:rsidP="00F15A19">
            <w:pPr>
              <w:rPr>
                <w:rFonts w:ascii="Calibri" w:hAnsi="Calibri" w:cs="Calibri"/>
                <w:bCs/>
              </w:rPr>
            </w:pPr>
            <w:r w:rsidRPr="00521186">
              <w:rPr>
                <w:rFonts w:ascii="Calibri" w:hAnsi="Calibri" w:cs="Calibri"/>
                <w:bCs/>
              </w:rPr>
              <w:t xml:space="preserve">Grants/Research Support: Gilead; Consultant and/or Advisor: Abbott, AbbVie, Access Biologicals, </w:t>
            </w:r>
            <w:proofErr w:type="spellStart"/>
            <w:r w:rsidRPr="00521186">
              <w:rPr>
                <w:rFonts w:ascii="Calibri" w:hAnsi="Calibri" w:cs="Calibri"/>
                <w:bCs/>
              </w:rPr>
              <w:t>Antios</w:t>
            </w:r>
            <w:proofErr w:type="spellEnd"/>
            <w:r w:rsidRPr="00521186">
              <w:rPr>
                <w:rFonts w:ascii="Calibri" w:hAnsi="Calibri" w:cs="Calibri"/>
                <w:bCs/>
              </w:rPr>
              <w:t xml:space="preserve">, Arrowhead, Bayer AG, Bristol-Myers Squibb Company, </w:t>
            </w:r>
            <w:proofErr w:type="spellStart"/>
            <w:r w:rsidRPr="00521186">
              <w:rPr>
                <w:rFonts w:ascii="Calibri" w:hAnsi="Calibri" w:cs="Calibri"/>
                <w:bCs/>
              </w:rPr>
              <w:t>Dova</w:t>
            </w:r>
            <w:proofErr w:type="spellEnd"/>
            <w:r w:rsidRPr="00521186">
              <w:rPr>
                <w:rFonts w:ascii="Calibri" w:hAnsi="Calibri" w:cs="Calibri"/>
                <w:bCs/>
              </w:rPr>
              <w:t xml:space="preserve">, </w:t>
            </w:r>
            <w:proofErr w:type="spellStart"/>
            <w:r w:rsidRPr="00521186">
              <w:rPr>
                <w:rFonts w:ascii="Calibri" w:hAnsi="Calibri" w:cs="Calibri"/>
                <w:bCs/>
              </w:rPr>
              <w:t>Dynavax</w:t>
            </w:r>
            <w:proofErr w:type="spellEnd"/>
            <w:r w:rsidRPr="00521186">
              <w:rPr>
                <w:rFonts w:ascii="Calibri" w:hAnsi="Calibri" w:cs="Calibri"/>
                <w:bCs/>
              </w:rPr>
              <w:t xml:space="preserve">, </w:t>
            </w:r>
            <w:proofErr w:type="spellStart"/>
            <w:r w:rsidRPr="00521186">
              <w:rPr>
                <w:rFonts w:ascii="Calibri" w:hAnsi="Calibri" w:cs="Calibri"/>
                <w:bCs/>
              </w:rPr>
              <w:t>Eiger</w:t>
            </w:r>
            <w:proofErr w:type="spellEnd"/>
            <w:r w:rsidRPr="00521186">
              <w:rPr>
                <w:rFonts w:ascii="Calibri" w:hAnsi="Calibri" w:cs="Calibri"/>
                <w:bCs/>
              </w:rPr>
              <w:t xml:space="preserve">, Eisai, Enyo, </w:t>
            </w:r>
            <w:proofErr w:type="spellStart"/>
            <w:r w:rsidRPr="00521186">
              <w:rPr>
                <w:rFonts w:ascii="Calibri" w:hAnsi="Calibri" w:cs="Calibri"/>
                <w:bCs/>
              </w:rPr>
              <w:t>eStudySite</w:t>
            </w:r>
            <w:proofErr w:type="spellEnd"/>
            <w:r w:rsidRPr="00521186">
              <w:rPr>
                <w:rFonts w:ascii="Calibri" w:hAnsi="Calibri" w:cs="Calibri"/>
                <w:bCs/>
              </w:rPr>
              <w:t xml:space="preserve">, Forty-Seven Inc, Genentech, </w:t>
            </w:r>
            <w:proofErr w:type="spellStart"/>
            <w:r w:rsidRPr="00521186">
              <w:rPr>
                <w:rFonts w:ascii="Calibri" w:hAnsi="Calibri" w:cs="Calibri"/>
                <w:bCs/>
              </w:rPr>
              <w:t>Genlantis</w:t>
            </w:r>
            <w:proofErr w:type="spellEnd"/>
            <w:r w:rsidRPr="00521186">
              <w:rPr>
                <w:rFonts w:ascii="Calibri" w:hAnsi="Calibri" w:cs="Calibri"/>
                <w:bCs/>
              </w:rPr>
              <w:t xml:space="preserve">, Gerson Lehrman Group, Gilead Sciences, </w:t>
            </w:r>
            <w:proofErr w:type="spellStart"/>
            <w:r w:rsidRPr="00521186">
              <w:rPr>
                <w:rFonts w:ascii="Calibri" w:hAnsi="Calibri" w:cs="Calibri"/>
                <w:bCs/>
              </w:rPr>
              <w:t>HepaTX</w:t>
            </w:r>
            <w:proofErr w:type="spellEnd"/>
            <w:r w:rsidRPr="00521186">
              <w:rPr>
                <w:rFonts w:ascii="Calibri" w:hAnsi="Calibri" w:cs="Calibri"/>
                <w:bCs/>
              </w:rPr>
              <w:t xml:space="preserve">, </w:t>
            </w:r>
            <w:proofErr w:type="spellStart"/>
            <w:r w:rsidRPr="00521186">
              <w:rPr>
                <w:rFonts w:ascii="Calibri" w:hAnsi="Calibri" w:cs="Calibri"/>
                <w:bCs/>
              </w:rPr>
              <w:t>HepQuant</w:t>
            </w:r>
            <w:proofErr w:type="spellEnd"/>
            <w:r w:rsidRPr="00521186">
              <w:rPr>
                <w:rFonts w:ascii="Calibri" w:hAnsi="Calibri" w:cs="Calibri"/>
                <w:bCs/>
              </w:rPr>
              <w:t xml:space="preserve">, Intercept, Janssen, Helios, Lilly, Merck, Salix, Shionogi, Viking Therapeutics; Current Activity with </w:t>
            </w:r>
            <w:r w:rsidRPr="00521186">
              <w:rPr>
                <w:rFonts w:ascii="Calibri" w:hAnsi="Calibri" w:cs="Calibri"/>
                <w:bCs/>
              </w:rPr>
              <w:lastRenderedPageBreak/>
              <w:t xml:space="preserve">Scientific or Clinical Advisory Boards: Abbott, AbbVie, Merck, Arrowhead, Bayer, </w:t>
            </w:r>
            <w:proofErr w:type="spellStart"/>
            <w:r w:rsidRPr="00521186">
              <w:rPr>
                <w:rFonts w:ascii="Calibri" w:hAnsi="Calibri" w:cs="Calibri"/>
                <w:bCs/>
              </w:rPr>
              <w:t>Dova</w:t>
            </w:r>
            <w:proofErr w:type="spellEnd"/>
            <w:r w:rsidRPr="00521186">
              <w:rPr>
                <w:rFonts w:ascii="Calibri" w:hAnsi="Calibri" w:cs="Calibri"/>
                <w:bCs/>
              </w:rPr>
              <w:t xml:space="preserve"> Pharmaceuticals, </w:t>
            </w:r>
            <w:proofErr w:type="spellStart"/>
            <w:r w:rsidRPr="00521186">
              <w:rPr>
                <w:rFonts w:ascii="Calibri" w:hAnsi="Calibri" w:cs="Calibri"/>
                <w:bCs/>
              </w:rPr>
              <w:t>Eiger</w:t>
            </w:r>
            <w:proofErr w:type="spellEnd"/>
            <w:r w:rsidRPr="00521186">
              <w:rPr>
                <w:rFonts w:ascii="Calibri" w:hAnsi="Calibri" w:cs="Calibri"/>
                <w:bCs/>
              </w:rPr>
              <w:t xml:space="preserve">, Enyo, </w:t>
            </w:r>
            <w:proofErr w:type="spellStart"/>
            <w:r w:rsidRPr="00521186">
              <w:rPr>
                <w:rFonts w:ascii="Calibri" w:hAnsi="Calibri" w:cs="Calibri"/>
                <w:bCs/>
              </w:rPr>
              <w:t>HepQuant</w:t>
            </w:r>
            <w:proofErr w:type="spellEnd"/>
            <w:r w:rsidRPr="00521186">
              <w:rPr>
                <w:rFonts w:ascii="Calibri" w:hAnsi="Calibri" w:cs="Calibri"/>
                <w:bCs/>
              </w:rPr>
              <w:t xml:space="preserve">, Intercept, Janssen; Clinical Trials Alliance: Topography Health; Advisory Board: Prodigy; Advisory Consultant: Biocollections, Fujifilm/Wako, Quest; Data Safety Monitoring Board: Arrowhead; Consulting Confidentiality Agreements: </w:t>
            </w:r>
            <w:proofErr w:type="spellStart"/>
            <w:r w:rsidRPr="00521186">
              <w:rPr>
                <w:rFonts w:ascii="Calibri" w:hAnsi="Calibri" w:cs="Calibri"/>
                <w:bCs/>
              </w:rPr>
              <w:t>Abbvie</w:t>
            </w:r>
            <w:proofErr w:type="spellEnd"/>
            <w:r w:rsidRPr="00521186">
              <w:rPr>
                <w:rFonts w:ascii="Calibri" w:hAnsi="Calibri" w:cs="Calibri"/>
                <w:bCs/>
              </w:rPr>
              <w:t xml:space="preserve">, Abbott, Access Biologicals, ADMA Biologics, AEC Partners, </w:t>
            </w:r>
            <w:proofErr w:type="spellStart"/>
            <w:r w:rsidRPr="00521186">
              <w:rPr>
                <w:rFonts w:ascii="Calibri" w:hAnsi="Calibri" w:cs="Calibri"/>
                <w:bCs/>
              </w:rPr>
              <w:t>Aligos</w:t>
            </w:r>
            <w:proofErr w:type="spellEnd"/>
            <w:r w:rsidRPr="00521186">
              <w:rPr>
                <w:rFonts w:ascii="Calibri" w:hAnsi="Calibri" w:cs="Calibri"/>
                <w:bCs/>
              </w:rPr>
              <w:t xml:space="preserve"> Therapeutics, Arena Pharmaceuticals Inc, Arrowhead, </w:t>
            </w:r>
            <w:proofErr w:type="spellStart"/>
            <w:r w:rsidRPr="00521186">
              <w:rPr>
                <w:rFonts w:ascii="Calibri" w:hAnsi="Calibri" w:cs="Calibri"/>
                <w:bCs/>
              </w:rPr>
              <w:t>Arterys</w:t>
            </w:r>
            <w:proofErr w:type="spellEnd"/>
            <w:r w:rsidRPr="00521186">
              <w:rPr>
                <w:rFonts w:ascii="Calibri" w:hAnsi="Calibri" w:cs="Calibri"/>
                <w:bCs/>
              </w:rPr>
              <w:t xml:space="preserve"> Inc Alexion, </w:t>
            </w:r>
            <w:proofErr w:type="spellStart"/>
            <w:r w:rsidRPr="00521186">
              <w:rPr>
                <w:rFonts w:ascii="Calibri" w:hAnsi="Calibri" w:cs="Calibri"/>
                <w:bCs/>
              </w:rPr>
              <w:t>Altimmune</w:t>
            </w:r>
            <w:proofErr w:type="spellEnd"/>
            <w:r w:rsidRPr="00521186">
              <w:rPr>
                <w:rFonts w:ascii="Calibri" w:hAnsi="Calibri" w:cs="Calibri"/>
                <w:bCs/>
              </w:rPr>
              <w:t xml:space="preserve">, </w:t>
            </w:r>
            <w:proofErr w:type="spellStart"/>
            <w:r w:rsidRPr="00521186">
              <w:rPr>
                <w:rFonts w:ascii="Calibri" w:hAnsi="Calibri" w:cs="Calibri"/>
                <w:bCs/>
              </w:rPr>
              <w:t>Antios</w:t>
            </w:r>
            <w:proofErr w:type="spellEnd"/>
            <w:r w:rsidRPr="00521186">
              <w:rPr>
                <w:rFonts w:ascii="Calibri" w:hAnsi="Calibri" w:cs="Calibri"/>
                <w:bCs/>
              </w:rPr>
              <w:t xml:space="preserve"> Therapeutics, </w:t>
            </w:r>
            <w:proofErr w:type="spellStart"/>
            <w:r w:rsidRPr="00521186">
              <w:rPr>
                <w:rFonts w:ascii="Calibri" w:hAnsi="Calibri" w:cs="Calibri"/>
                <w:bCs/>
              </w:rPr>
              <w:t>AprosTx</w:t>
            </w:r>
            <w:proofErr w:type="spellEnd"/>
            <w:r w:rsidRPr="00521186">
              <w:rPr>
                <w:rFonts w:ascii="Calibri" w:hAnsi="Calibri" w:cs="Calibri"/>
                <w:bCs/>
              </w:rPr>
              <w:t xml:space="preserve">, Bayer, </w:t>
            </w:r>
            <w:proofErr w:type="spellStart"/>
            <w:r w:rsidRPr="00521186">
              <w:rPr>
                <w:rFonts w:ascii="Calibri" w:hAnsi="Calibri" w:cs="Calibri"/>
                <w:bCs/>
              </w:rPr>
              <w:t>Cirina</w:t>
            </w:r>
            <w:proofErr w:type="spellEnd"/>
            <w:r w:rsidRPr="00521186">
              <w:rPr>
                <w:rFonts w:ascii="Calibri" w:hAnsi="Calibri" w:cs="Calibri"/>
                <w:bCs/>
              </w:rPr>
              <w:t xml:space="preserve">, Consumer Health Products Assoc, </w:t>
            </w:r>
            <w:proofErr w:type="spellStart"/>
            <w:r w:rsidRPr="00521186">
              <w:rPr>
                <w:rFonts w:ascii="Calibri" w:hAnsi="Calibri" w:cs="Calibri"/>
                <w:bCs/>
              </w:rPr>
              <w:t>Dova</w:t>
            </w:r>
            <w:proofErr w:type="spellEnd"/>
            <w:r w:rsidRPr="00521186">
              <w:rPr>
                <w:rFonts w:ascii="Calibri" w:hAnsi="Calibri" w:cs="Calibri"/>
                <w:bCs/>
              </w:rPr>
              <w:t xml:space="preserve"> Pharmaceuticals, DRG Abacus, DURECT Corporation, </w:t>
            </w:r>
            <w:proofErr w:type="spellStart"/>
            <w:r w:rsidRPr="00521186">
              <w:rPr>
                <w:rFonts w:ascii="Calibri" w:hAnsi="Calibri" w:cs="Calibri"/>
                <w:bCs/>
              </w:rPr>
              <w:t>Dynavax</w:t>
            </w:r>
            <w:proofErr w:type="spellEnd"/>
            <w:r w:rsidRPr="00521186">
              <w:rPr>
                <w:rFonts w:ascii="Calibri" w:hAnsi="Calibri" w:cs="Calibri"/>
                <w:bCs/>
              </w:rPr>
              <w:t xml:space="preserve">, </w:t>
            </w:r>
            <w:proofErr w:type="spellStart"/>
            <w:r w:rsidRPr="00521186">
              <w:rPr>
                <w:rFonts w:ascii="Calibri" w:hAnsi="Calibri" w:cs="Calibri"/>
                <w:bCs/>
              </w:rPr>
              <w:t>Echosens</w:t>
            </w:r>
            <w:proofErr w:type="spellEnd"/>
            <w:r w:rsidRPr="00521186">
              <w:rPr>
                <w:rFonts w:ascii="Calibri" w:hAnsi="Calibri" w:cs="Calibri"/>
                <w:bCs/>
              </w:rPr>
              <w:t xml:space="preserve">, </w:t>
            </w:r>
            <w:proofErr w:type="spellStart"/>
            <w:r w:rsidRPr="00521186">
              <w:rPr>
                <w:rFonts w:ascii="Calibri" w:hAnsi="Calibri" w:cs="Calibri"/>
                <w:bCs/>
              </w:rPr>
              <w:t>Eiger</w:t>
            </w:r>
            <w:proofErr w:type="spellEnd"/>
            <w:r w:rsidRPr="00521186">
              <w:rPr>
                <w:rFonts w:ascii="Calibri" w:hAnsi="Calibri" w:cs="Calibri"/>
                <w:bCs/>
              </w:rPr>
              <w:t xml:space="preserve">, Enyo, </w:t>
            </w:r>
            <w:proofErr w:type="spellStart"/>
            <w:r w:rsidRPr="00521186">
              <w:rPr>
                <w:rFonts w:ascii="Calibri" w:hAnsi="Calibri" w:cs="Calibri"/>
                <w:bCs/>
              </w:rPr>
              <w:t>Exelixis</w:t>
            </w:r>
            <w:proofErr w:type="spellEnd"/>
            <w:r w:rsidRPr="00521186">
              <w:rPr>
                <w:rFonts w:ascii="Calibri" w:hAnsi="Calibri" w:cs="Calibri"/>
                <w:bCs/>
              </w:rPr>
              <w:t xml:space="preserve">, Forty-Seven Inc, Fujifilm Wako Diagnostics, Gilead, </w:t>
            </w:r>
            <w:proofErr w:type="spellStart"/>
            <w:r w:rsidRPr="00521186">
              <w:rPr>
                <w:rFonts w:ascii="Calibri" w:hAnsi="Calibri" w:cs="Calibri"/>
                <w:bCs/>
              </w:rPr>
              <w:t>HepQuant</w:t>
            </w:r>
            <w:proofErr w:type="spellEnd"/>
            <w:r w:rsidRPr="00521186">
              <w:rPr>
                <w:rFonts w:ascii="Calibri" w:hAnsi="Calibri" w:cs="Calibri"/>
                <w:bCs/>
              </w:rPr>
              <w:t xml:space="preserve">, </w:t>
            </w:r>
            <w:proofErr w:type="spellStart"/>
            <w:r w:rsidRPr="00521186">
              <w:rPr>
                <w:rFonts w:ascii="Calibri" w:hAnsi="Calibri" w:cs="Calibri"/>
                <w:bCs/>
              </w:rPr>
              <w:t>HepaTx</w:t>
            </w:r>
            <w:proofErr w:type="spellEnd"/>
            <w:r w:rsidRPr="00521186">
              <w:rPr>
                <w:rFonts w:ascii="Calibri" w:hAnsi="Calibri" w:cs="Calibri"/>
                <w:bCs/>
              </w:rPr>
              <w:t xml:space="preserve">, </w:t>
            </w:r>
            <w:proofErr w:type="spellStart"/>
            <w:r w:rsidRPr="00521186">
              <w:rPr>
                <w:rFonts w:ascii="Calibri" w:hAnsi="Calibri" w:cs="Calibri"/>
                <w:bCs/>
              </w:rPr>
              <w:t>IDLogiq</w:t>
            </w:r>
            <w:proofErr w:type="spellEnd"/>
            <w:r w:rsidRPr="00521186">
              <w:rPr>
                <w:rFonts w:ascii="Calibri" w:hAnsi="Calibri" w:cs="Calibri"/>
                <w:bCs/>
              </w:rPr>
              <w:t xml:space="preserve">, </w:t>
            </w:r>
            <w:proofErr w:type="spellStart"/>
            <w:r w:rsidRPr="00521186">
              <w:rPr>
                <w:rFonts w:ascii="Calibri" w:hAnsi="Calibri" w:cs="Calibri"/>
                <w:bCs/>
              </w:rPr>
              <w:t>Intellia</w:t>
            </w:r>
            <w:proofErr w:type="spellEnd"/>
            <w:r w:rsidRPr="00521186">
              <w:rPr>
                <w:rFonts w:ascii="Calibri" w:hAnsi="Calibri" w:cs="Calibri"/>
                <w:bCs/>
              </w:rPr>
              <w:t xml:space="preserve">, Intercept, </w:t>
            </w:r>
            <w:proofErr w:type="spellStart"/>
            <w:r w:rsidRPr="00521186">
              <w:rPr>
                <w:rFonts w:ascii="Calibri" w:hAnsi="Calibri" w:cs="Calibri"/>
                <w:bCs/>
              </w:rPr>
              <w:t>Inotek</w:t>
            </w:r>
            <w:proofErr w:type="spellEnd"/>
            <w:r w:rsidRPr="00521186">
              <w:rPr>
                <w:rFonts w:ascii="Calibri" w:hAnsi="Calibri" w:cs="Calibri"/>
                <w:bCs/>
              </w:rPr>
              <w:t xml:space="preserve">, </w:t>
            </w:r>
            <w:proofErr w:type="spellStart"/>
            <w:r w:rsidRPr="00521186">
              <w:rPr>
                <w:rFonts w:ascii="Calibri" w:hAnsi="Calibri" w:cs="Calibri"/>
                <w:bCs/>
              </w:rPr>
              <w:t>Iqvia</w:t>
            </w:r>
            <w:proofErr w:type="spellEnd"/>
            <w:r w:rsidRPr="00521186">
              <w:rPr>
                <w:rFonts w:ascii="Calibri" w:hAnsi="Calibri" w:cs="Calibri"/>
                <w:bCs/>
              </w:rPr>
              <w:t xml:space="preserve">, Janssen/J&amp;J, </w:t>
            </w:r>
            <w:proofErr w:type="spellStart"/>
            <w:r w:rsidRPr="00521186">
              <w:rPr>
                <w:rFonts w:ascii="Calibri" w:hAnsi="Calibri" w:cs="Calibri"/>
                <w:bCs/>
              </w:rPr>
              <w:t>KannaLife</w:t>
            </w:r>
            <w:proofErr w:type="spellEnd"/>
            <w:r w:rsidRPr="00521186">
              <w:rPr>
                <w:rFonts w:ascii="Calibri" w:hAnsi="Calibri" w:cs="Calibri"/>
                <w:bCs/>
              </w:rPr>
              <w:t xml:space="preserve">, Laboratory for Advanced Medicine, Labyrinth Holdings, Lilly, </w:t>
            </w:r>
            <w:proofErr w:type="spellStart"/>
            <w:r w:rsidRPr="00521186">
              <w:rPr>
                <w:rFonts w:ascii="Calibri" w:hAnsi="Calibri" w:cs="Calibri"/>
                <w:bCs/>
              </w:rPr>
              <w:t>MedImmune</w:t>
            </w:r>
            <w:proofErr w:type="spellEnd"/>
            <w:r w:rsidRPr="00521186">
              <w:rPr>
                <w:rFonts w:ascii="Calibri" w:hAnsi="Calibri" w:cs="Calibri"/>
                <w:bCs/>
              </w:rPr>
              <w:t xml:space="preserve">, Merck, New Enterprise Associates, Ogilvy CommonHealth, Organovo, Patient Connect, </w:t>
            </w:r>
            <w:proofErr w:type="spellStart"/>
            <w:r w:rsidRPr="00521186">
              <w:rPr>
                <w:rFonts w:ascii="Calibri" w:hAnsi="Calibri" w:cs="Calibri"/>
                <w:bCs/>
              </w:rPr>
              <w:t>ProdigY</w:t>
            </w:r>
            <w:proofErr w:type="spellEnd"/>
            <w:r w:rsidRPr="00521186">
              <w:rPr>
                <w:rFonts w:ascii="Calibri" w:hAnsi="Calibri" w:cs="Calibri"/>
                <w:bCs/>
              </w:rPr>
              <w:t xml:space="preserve"> Biotech, Prometheus Laboratories, </w:t>
            </w:r>
            <w:proofErr w:type="spellStart"/>
            <w:r w:rsidRPr="00521186">
              <w:rPr>
                <w:rFonts w:ascii="Calibri" w:hAnsi="Calibri" w:cs="Calibri"/>
                <w:bCs/>
              </w:rPr>
              <w:t>Refuah</w:t>
            </w:r>
            <w:proofErr w:type="spellEnd"/>
            <w:r w:rsidRPr="00521186">
              <w:rPr>
                <w:rFonts w:ascii="Calibri" w:hAnsi="Calibri" w:cs="Calibri"/>
                <w:bCs/>
              </w:rPr>
              <w:t xml:space="preserve"> Solutions, Regulus Therapeutics, Salix, Shionogi Inc, Spring Bank, Trimaran; Speakers Bureau: AbbVie, Bayer, BMS, Eisai, Gilead Sciences Inc., Intercept, and Salix; Minor </w:t>
            </w:r>
            <w:r>
              <w:rPr>
                <w:rFonts w:ascii="Calibri" w:hAnsi="Calibri" w:cs="Calibri"/>
                <w:bCs/>
              </w:rPr>
              <w:t>S</w:t>
            </w:r>
            <w:r w:rsidRPr="00521186">
              <w:rPr>
                <w:rFonts w:ascii="Calibri" w:hAnsi="Calibri" w:cs="Calibri"/>
                <w:bCs/>
              </w:rPr>
              <w:t xml:space="preserve">tock </w:t>
            </w:r>
            <w:r>
              <w:rPr>
                <w:rFonts w:ascii="Calibri" w:hAnsi="Calibri" w:cs="Calibri"/>
                <w:bCs/>
              </w:rPr>
              <w:t>S</w:t>
            </w:r>
            <w:r w:rsidRPr="00521186">
              <w:rPr>
                <w:rFonts w:ascii="Calibri" w:hAnsi="Calibri" w:cs="Calibri"/>
                <w:bCs/>
              </w:rPr>
              <w:t xml:space="preserve">hareholder: </w:t>
            </w:r>
            <w:proofErr w:type="spellStart"/>
            <w:r w:rsidRPr="00521186">
              <w:rPr>
                <w:rFonts w:ascii="Calibri" w:hAnsi="Calibri" w:cs="Calibri"/>
                <w:bCs/>
              </w:rPr>
              <w:t>RiboSciences</w:t>
            </w:r>
            <w:proofErr w:type="spellEnd"/>
            <w:r w:rsidRPr="00521186">
              <w:rPr>
                <w:rFonts w:ascii="Calibri" w:hAnsi="Calibri" w:cs="Calibri"/>
                <w:bCs/>
              </w:rPr>
              <w:t xml:space="preserve">, </w:t>
            </w:r>
            <w:proofErr w:type="spellStart"/>
            <w:r w:rsidRPr="00521186">
              <w:rPr>
                <w:rFonts w:ascii="Calibri" w:hAnsi="Calibri" w:cs="Calibri"/>
                <w:bCs/>
              </w:rPr>
              <w:t>CoCrystal</w:t>
            </w:r>
            <w:proofErr w:type="spellEnd"/>
            <w:r w:rsidRPr="00521186">
              <w:rPr>
                <w:rFonts w:ascii="Calibri" w:hAnsi="Calibri" w:cs="Calibri"/>
                <w:bCs/>
              </w:rPr>
              <w:t xml:space="preserve">; Stock Options: </w:t>
            </w:r>
            <w:proofErr w:type="spellStart"/>
            <w:r w:rsidRPr="00521186">
              <w:rPr>
                <w:rFonts w:ascii="Calibri" w:hAnsi="Calibri" w:cs="Calibri"/>
                <w:bCs/>
              </w:rPr>
              <w:t>Eiger</w:t>
            </w:r>
            <w:proofErr w:type="spellEnd"/>
            <w:r w:rsidRPr="00521186">
              <w:rPr>
                <w:rFonts w:ascii="Calibri" w:hAnsi="Calibri" w:cs="Calibri"/>
                <w:bCs/>
              </w:rPr>
              <w:t xml:space="preserve">, </w:t>
            </w:r>
            <w:proofErr w:type="spellStart"/>
            <w:r w:rsidRPr="00521186">
              <w:rPr>
                <w:rFonts w:ascii="Calibri" w:hAnsi="Calibri" w:cs="Calibri"/>
                <w:bCs/>
              </w:rPr>
              <w:t>Genlantis</w:t>
            </w:r>
            <w:proofErr w:type="spellEnd"/>
            <w:r w:rsidRPr="00521186">
              <w:rPr>
                <w:rFonts w:ascii="Calibri" w:hAnsi="Calibri" w:cs="Calibri"/>
                <w:bCs/>
              </w:rPr>
              <w:t xml:space="preserve">, </w:t>
            </w:r>
            <w:proofErr w:type="spellStart"/>
            <w:r w:rsidRPr="00521186">
              <w:rPr>
                <w:rFonts w:ascii="Calibri" w:hAnsi="Calibri" w:cs="Calibri"/>
                <w:bCs/>
              </w:rPr>
              <w:t>HepQuant</w:t>
            </w:r>
            <w:proofErr w:type="spellEnd"/>
            <w:r w:rsidRPr="00521186">
              <w:rPr>
                <w:rFonts w:ascii="Calibri" w:hAnsi="Calibri" w:cs="Calibri"/>
                <w:bCs/>
              </w:rPr>
              <w:t xml:space="preserve">, </w:t>
            </w:r>
            <w:proofErr w:type="spellStart"/>
            <w:r w:rsidRPr="00521186">
              <w:rPr>
                <w:rFonts w:ascii="Calibri" w:hAnsi="Calibri" w:cs="Calibri"/>
                <w:bCs/>
              </w:rPr>
              <w:t>AngioCrine</w:t>
            </w:r>
            <w:proofErr w:type="spellEnd"/>
            <w:r w:rsidRPr="00521186">
              <w:rPr>
                <w:rFonts w:ascii="Calibri" w:hAnsi="Calibri" w:cs="Calibri"/>
                <w:bCs/>
              </w:rPr>
              <w:t>; Expert Testimony for Pharma (Intellectual Property): Janssen USP Pharma</w:t>
            </w:r>
          </w:p>
        </w:tc>
      </w:tr>
      <w:tr w:rsidR="004B47DD" w:rsidRPr="00AC26F6" w14:paraId="0F213D18"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6722B34" w14:textId="4A3D9E0A" w:rsidR="004B47DD" w:rsidRPr="00AC26F6" w:rsidRDefault="004B47DD" w:rsidP="00F15A19">
            <w:pPr>
              <w:rPr>
                <w:rFonts w:asciiTheme="minorHAnsi" w:hAnsiTheme="minorHAnsi" w:cstheme="minorHAnsi"/>
                <w:color w:val="000000"/>
              </w:rPr>
            </w:pPr>
            <w:r>
              <w:rPr>
                <w:rFonts w:ascii="Calibri" w:hAnsi="Calibri" w:cs="Calibri"/>
                <w:lang w:bidi="en-US"/>
              </w:rPr>
              <w:lastRenderedPageBreak/>
              <w:t>Debra Gordon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04F03B57" w14:textId="39648435" w:rsidR="004B47DD" w:rsidRPr="00AC26F6" w:rsidRDefault="004B47DD"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5F13B701"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2CFF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Brianna Hanson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74B1ABA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18169C86"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67212F" w14:textId="310AA2D9" w:rsidR="007C1567" w:rsidRPr="007C1567" w:rsidRDefault="004B47DD" w:rsidP="00F15A19">
            <w:pPr>
              <w:rPr>
                <w:rFonts w:asciiTheme="minorHAnsi" w:hAnsiTheme="minorHAnsi" w:cstheme="minorHAnsi"/>
                <w:color w:val="000000"/>
              </w:rPr>
            </w:pPr>
            <w:r>
              <w:rPr>
                <w:rFonts w:ascii="Calibri" w:hAnsi="Calibri" w:cs="Calibri"/>
                <w:lang w:bidi="en-US"/>
              </w:rPr>
              <w:t>Melissa A. Johnson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970D135" w14:textId="2C864974" w:rsidR="007C1567" w:rsidRPr="00AC26F6" w:rsidRDefault="007C1567"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2C53D635"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D9084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Scott McGee-Plys</w:t>
            </w:r>
          </w:p>
        </w:tc>
        <w:tc>
          <w:tcPr>
            <w:tcW w:w="8730" w:type="dxa"/>
            <w:tcBorders>
              <w:top w:val="single" w:sz="4" w:space="0" w:color="auto"/>
              <w:left w:val="nil"/>
              <w:bottom w:val="single" w:sz="4" w:space="0" w:color="auto"/>
              <w:right w:val="single" w:sz="4" w:space="0" w:color="auto"/>
            </w:tcBorders>
            <w:shd w:val="clear" w:color="auto" w:fill="auto"/>
            <w:vAlign w:val="bottom"/>
          </w:tcPr>
          <w:p w14:paraId="1C38063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4B710E" w:rsidRPr="00AC26F6" w14:paraId="763E6983"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0ED9A62" w14:textId="77F6CE88" w:rsidR="004B710E" w:rsidRPr="00AC26F6" w:rsidRDefault="004B710E" w:rsidP="00F15A19">
            <w:pPr>
              <w:rPr>
                <w:rFonts w:asciiTheme="minorHAnsi" w:hAnsiTheme="minorHAnsi" w:cstheme="minorHAnsi"/>
                <w:color w:val="000000"/>
              </w:rPr>
            </w:pPr>
            <w:r w:rsidRPr="00823D8E">
              <w:rPr>
                <w:rFonts w:ascii="Calibri" w:hAnsi="Calibri" w:cs="Calibri"/>
                <w:lang w:bidi="en-US"/>
              </w:rPr>
              <w:t>Jessica McMullen</w:t>
            </w:r>
          </w:p>
        </w:tc>
        <w:tc>
          <w:tcPr>
            <w:tcW w:w="8730" w:type="dxa"/>
            <w:tcBorders>
              <w:top w:val="single" w:sz="4" w:space="0" w:color="auto"/>
              <w:left w:val="nil"/>
              <w:bottom w:val="single" w:sz="4" w:space="0" w:color="auto"/>
              <w:right w:val="single" w:sz="4" w:space="0" w:color="auto"/>
            </w:tcBorders>
            <w:shd w:val="clear" w:color="auto" w:fill="auto"/>
            <w:vAlign w:val="bottom"/>
          </w:tcPr>
          <w:p w14:paraId="16487F0A" w14:textId="02183DFA" w:rsidR="004B710E" w:rsidRPr="00AC26F6" w:rsidRDefault="004B710E"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4001A322"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95CF534"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Lauren Welch</w:t>
            </w:r>
          </w:p>
        </w:tc>
        <w:tc>
          <w:tcPr>
            <w:tcW w:w="8730" w:type="dxa"/>
            <w:tcBorders>
              <w:top w:val="single" w:sz="4" w:space="0" w:color="auto"/>
              <w:left w:val="nil"/>
              <w:bottom w:val="single" w:sz="4" w:space="0" w:color="auto"/>
              <w:right w:val="single" w:sz="4" w:space="0" w:color="auto"/>
            </w:tcBorders>
            <w:shd w:val="clear" w:color="auto" w:fill="auto"/>
            <w:vAlign w:val="bottom"/>
          </w:tcPr>
          <w:p w14:paraId="4E377148"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01DA6079"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Click on</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4B710E">
        <w:rPr>
          <w:rFonts w:asciiTheme="minorHAnsi" w:hAnsiTheme="minorHAnsi" w:cstheme="minorHAnsi"/>
          <w:b/>
          <w:bCs/>
          <w:color w:val="000000" w:themeColor="text1"/>
          <w:sz w:val="20"/>
        </w:rPr>
        <w:t>6.</w:t>
      </w:r>
      <w:r w:rsidR="00E301E0">
        <w:rPr>
          <w:rFonts w:asciiTheme="minorHAnsi" w:hAnsiTheme="minorHAnsi" w:cstheme="minorHAnsi"/>
          <w:b/>
          <w:bCs/>
          <w:color w:val="000000" w:themeColor="text1"/>
          <w:sz w:val="20"/>
        </w:rPr>
        <w:t>1</w:t>
      </w:r>
      <w:r w:rsidR="00420ED5">
        <w:rPr>
          <w:rFonts w:asciiTheme="minorHAnsi" w:hAnsiTheme="minorHAnsi" w:cstheme="minorHAnsi"/>
          <w:b/>
          <w:bCs/>
          <w:color w:val="000000" w:themeColor="text1"/>
          <w:sz w:val="20"/>
        </w:rPr>
        <w:t>5</w:t>
      </w:r>
      <w:r w:rsidR="004B710E">
        <w:rPr>
          <w:rFonts w:asciiTheme="minorHAnsi" w:hAnsiTheme="minorHAnsi" w:cstheme="minorHAnsi"/>
          <w:b/>
          <w:bCs/>
          <w:color w:val="000000" w:themeColor="text1"/>
          <w:sz w:val="20"/>
        </w:rPr>
        <w:t xml:space="preserve">.21 IC-ONC - </w:t>
      </w:r>
      <w:r w:rsidR="00E301E0">
        <w:rPr>
          <w:rFonts w:asciiTheme="minorHAnsi" w:hAnsiTheme="minorHAnsi" w:cstheme="minorHAnsi"/>
          <w:b/>
          <w:bCs/>
          <w:color w:val="000000" w:themeColor="text1"/>
          <w:sz w:val="20"/>
        </w:rPr>
        <w:t xml:space="preserve">Track </w:t>
      </w:r>
      <w:r w:rsidR="00420ED5" w:rsidRPr="00420ED5">
        <w:rPr>
          <w:rFonts w:asciiTheme="minorHAnsi" w:hAnsiTheme="minorHAnsi" w:cstheme="minorHAnsi"/>
          <w:b/>
          <w:bCs/>
          <w:color w:val="000000" w:themeColor="text1"/>
          <w:sz w:val="20"/>
        </w:rPr>
        <w:t>4: Hepatocellular Carcinoma</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Adobe Garamond Pro">
    <w:altName w:val="Garamond"/>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20ED5"/>
    <w:rsid w:val="0048004A"/>
    <w:rsid w:val="00487530"/>
    <w:rsid w:val="004B47DD"/>
    <w:rsid w:val="004B710E"/>
    <w:rsid w:val="004C6619"/>
    <w:rsid w:val="004D2CBE"/>
    <w:rsid w:val="004E257B"/>
    <w:rsid w:val="00507903"/>
    <w:rsid w:val="00521186"/>
    <w:rsid w:val="00556974"/>
    <w:rsid w:val="005961A9"/>
    <w:rsid w:val="005A0F24"/>
    <w:rsid w:val="005D26F9"/>
    <w:rsid w:val="00621DD1"/>
    <w:rsid w:val="00673BF5"/>
    <w:rsid w:val="00680919"/>
    <w:rsid w:val="00686D4A"/>
    <w:rsid w:val="006E6C39"/>
    <w:rsid w:val="006F037C"/>
    <w:rsid w:val="00705344"/>
    <w:rsid w:val="00781ECE"/>
    <w:rsid w:val="007C1567"/>
    <w:rsid w:val="007D065B"/>
    <w:rsid w:val="008407ED"/>
    <w:rsid w:val="0084583D"/>
    <w:rsid w:val="00863B0A"/>
    <w:rsid w:val="008B1AA1"/>
    <w:rsid w:val="009123FB"/>
    <w:rsid w:val="00924BE6"/>
    <w:rsid w:val="00962869"/>
    <w:rsid w:val="0099656F"/>
    <w:rsid w:val="009B6C80"/>
    <w:rsid w:val="009D375D"/>
    <w:rsid w:val="00A31760"/>
    <w:rsid w:val="00A32162"/>
    <w:rsid w:val="00A36343"/>
    <w:rsid w:val="00A37AE5"/>
    <w:rsid w:val="00A56E2F"/>
    <w:rsid w:val="00A939E0"/>
    <w:rsid w:val="00AA1FEE"/>
    <w:rsid w:val="00AB25F8"/>
    <w:rsid w:val="00AC26F6"/>
    <w:rsid w:val="00AD3F18"/>
    <w:rsid w:val="00B4657A"/>
    <w:rsid w:val="00B47123"/>
    <w:rsid w:val="00B56893"/>
    <w:rsid w:val="00B86324"/>
    <w:rsid w:val="00BC691F"/>
    <w:rsid w:val="00BD455F"/>
    <w:rsid w:val="00BF1078"/>
    <w:rsid w:val="00C17621"/>
    <w:rsid w:val="00C24415"/>
    <w:rsid w:val="00C26057"/>
    <w:rsid w:val="00C67F5C"/>
    <w:rsid w:val="00C74665"/>
    <w:rsid w:val="00CA7C2A"/>
    <w:rsid w:val="00CC4287"/>
    <w:rsid w:val="00CE0A8E"/>
    <w:rsid w:val="00CF79BA"/>
    <w:rsid w:val="00D0162B"/>
    <w:rsid w:val="00D03240"/>
    <w:rsid w:val="00D34C74"/>
    <w:rsid w:val="00D54651"/>
    <w:rsid w:val="00D56D6A"/>
    <w:rsid w:val="00D60566"/>
    <w:rsid w:val="00DD1F49"/>
    <w:rsid w:val="00DE40D3"/>
    <w:rsid w:val="00E255C2"/>
    <w:rsid w:val="00E301E0"/>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 w:type="character" w:customStyle="1" w:styleId="A17">
    <w:name w:val="A17"/>
    <w:uiPriority w:val="99"/>
    <w:rsid w:val="004B710E"/>
    <w:rPr>
      <w:rFonts w:cs="Adobe Garamond Pro"/>
      <w:color w:val="00364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5617</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Scott McGee-Plys</cp:lastModifiedBy>
  <cp:revision>12</cp:revision>
  <cp:lastPrinted>2011-08-31T15:42:00Z</cp:lastPrinted>
  <dcterms:created xsi:type="dcterms:W3CDTF">2020-11-30T22:13:00Z</dcterms:created>
  <dcterms:modified xsi:type="dcterms:W3CDTF">2021-06-04T19:08:00Z</dcterms:modified>
</cp:coreProperties>
</file>